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Памятка государственному гражданскому служащему,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 xml:space="preserve">муниципальному служащему, планирующему увольнение с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государственной гражданской службы, муниципальной службы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shd w:val="clear" w:color="auto" w:fill="FFFFFF"/>
        <w:spacing w:lineRule="atLeast" w:line="300"/>
        <w:ind w:firstLine="567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В соответствии</w:t>
      </w:r>
      <w:r>
        <w:rPr>
          <w:rStyle w:val="Appleconvertedspace"/>
          <w:color w:val="000000"/>
          <w:szCs w:val="28"/>
        </w:rPr>
        <w:t> </w:t>
      </w:r>
      <w:r>
        <w:rPr>
          <w:bCs/>
          <w:color w:val="000000"/>
          <w:szCs w:val="28"/>
        </w:rPr>
        <w:t>с частью 11 статьи 15</w:t>
      </w:r>
      <w:r>
        <w:rPr>
          <w:rStyle w:val="Appleconvertedspace"/>
          <w:color w:val="000000"/>
          <w:szCs w:val="28"/>
        </w:rPr>
        <w:t> </w:t>
      </w:r>
      <w:r>
        <w:rPr>
          <w:bCs/>
          <w:color w:val="000000"/>
          <w:szCs w:val="28"/>
        </w:rPr>
        <w:t>Федерального закона от 27 июля 2004 г. № 79-ФЗ «О государственной гражданской службе Российской Федерации»</w:t>
      </w:r>
      <w:r>
        <w:rPr>
          <w:rStyle w:val="Appleconvertedspace"/>
          <w:color w:val="000000"/>
          <w:szCs w:val="28"/>
        </w:rPr>
        <w:t> </w:t>
      </w:r>
      <w:r>
        <w:rPr>
          <w:color w:val="000000"/>
          <w:szCs w:val="28"/>
        </w:rPr>
        <w:t xml:space="preserve">(далее – </w:t>
      </w:r>
      <w:r>
        <w:rPr>
          <w:color w:val="000000"/>
          <w:szCs w:val="28"/>
        </w:rPr>
        <w:t>Федеральный закон № 79-ФЗ</w:t>
      </w:r>
      <w:r>
        <w:rPr>
          <w:color w:val="000000"/>
          <w:szCs w:val="28"/>
        </w:rPr>
        <w:t xml:space="preserve">) </w:t>
      </w:r>
      <w:r>
        <w:rPr>
          <w:bCs/>
          <w:color w:val="000000"/>
          <w:szCs w:val="28"/>
        </w:rPr>
        <w:t>государственный гражданский служащий Российской Федерации</w:t>
      </w:r>
      <w:r>
        <w:rPr>
          <w:rStyle w:val="Appleconvertedspace"/>
          <w:color w:val="000000"/>
          <w:szCs w:val="28"/>
        </w:rPr>
        <w:t> </w:t>
      </w:r>
      <w:r>
        <w:rPr>
          <w:color w:val="000000"/>
          <w:szCs w:val="28"/>
        </w:rPr>
        <w:t xml:space="preserve">(далее – гражданский служащий) </w:t>
      </w:r>
      <w:r>
        <w:rPr>
          <w:bCs/>
          <w:color w:val="000000"/>
          <w:szCs w:val="28"/>
        </w:rPr>
        <w:t>обязан соблюдать ограничения, выполнять обязательства и требования к служебному поведению, не нарушать запреты</w:t>
      </w:r>
      <w:r>
        <w:rPr>
          <w:color w:val="000000"/>
          <w:szCs w:val="28"/>
        </w:rPr>
        <w:t xml:space="preserve">, которые установлены указанным </w:t>
      </w:r>
      <w:r>
        <w:rPr>
          <w:color w:val="000000"/>
          <w:szCs w:val="28"/>
        </w:rPr>
        <w:t>Федеральным законом № 79-ФЗ</w:t>
      </w:r>
      <w:r>
        <w:rPr>
          <w:color w:val="000000"/>
          <w:szCs w:val="28"/>
        </w:rPr>
        <w:t xml:space="preserve"> и другими федеральными законами.</w:t>
      </w:r>
    </w:p>
    <w:p>
      <w:pPr>
        <w:pStyle w:val="Normal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частью 1 статьи 12 Федерального закона от 2 марта 2007 года № 25-ФЗ «О муниципальной службе в Российской Федерации» (далее - Федеральный закон № 25-ФЗ) муниципальный служащий Российской Федерации (далее – муниципальный служащий) обязан </w:t>
      </w:r>
      <w:r>
        <w:rPr>
          <w:szCs w:val="28"/>
        </w:rPr>
        <w:t>соблюдать ограничения, выполнять обязательства, не нарушать запреты, которые установлены Федеральным законом № 25-ФЗ и другими федеральными законами.</w:t>
      </w:r>
    </w:p>
    <w:p>
      <w:pPr>
        <w:pStyle w:val="Normal"/>
        <w:numPr>
          <w:ilvl w:val="0"/>
          <w:numId w:val="0"/>
        </w:numPr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>
        <w:rPr>
          <w:b/>
          <w:color w:val="000000"/>
          <w:szCs w:val="28"/>
        </w:rPr>
        <w:t>. Ограничения, налагаемые на гражданина, замещавшего должность государственной гражданской или муниципальной службы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Статьей 17 Федерального закона № 79-ФЗ и статьей 14 </w:t>
      </w:r>
      <w:r>
        <w:rPr>
          <w:bCs/>
          <w:color w:val="000000"/>
          <w:szCs w:val="28"/>
        </w:rPr>
        <w:t>Федерального закона № 25-ФЗ</w:t>
      </w:r>
      <w:r>
        <w:rPr>
          <w:color w:val="000000"/>
          <w:szCs w:val="28"/>
        </w:rPr>
        <w:t xml:space="preserve"> установлено, что г</w:t>
      </w:r>
      <w:r>
        <w:rPr>
          <w:bCs/>
          <w:color w:val="000000"/>
          <w:szCs w:val="28"/>
        </w:rPr>
        <w:t>ражданин после</w:t>
      </w:r>
      <w:r>
        <w:rPr>
          <w:rStyle w:val="Appleconvertedspace"/>
          <w:color w:val="000000"/>
          <w:szCs w:val="28"/>
        </w:rPr>
        <w:t> </w:t>
      </w:r>
      <w:r>
        <w:rPr>
          <w:bCs/>
          <w:color w:val="000000"/>
          <w:szCs w:val="28"/>
        </w:rPr>
        <w:t>увольнения</w:t>
      </w:r>
      <w:r>
        <w:rPr>
          <w:rStyle w:val="Appleconvertedspace"/>
          <w:color w:val="000000"/>
          <w:szCs w:val="28"/>
        </w:rPr>
        <w:t> </w:t>
      </w:r>
      <w:r>
        <w:rPr>
          <w:color w:val="000000"/>
          <w:szCs w:val="28"/>
        </w:rPr>
        <w:t xml:space="preserve">с государственной гражданской (муниципальной) службы </w:t>
      </w:r>
      <w:r>
        <w:rPr>
          <w:bCs/>
          <w:color w:val="000000"/>
          <w:szCs w:val="28"/>
        </w:rPr>
        <w:t>не вправе</w:t>
      </w:r>
      <w:r>
        <w:rPr>
          <w:color w:val="000000"/>
          <w:szCs w:val="28"/>
        </w:rPr>
        <w:t>:</w:t>
      </w:r>
    </w:p>
    <w:p>
      <w:pPr>
        <w:pStyle w:val="Normal"/>
        <w:shd w:val="clear" w:color="auto" w:fill="FFFFFF"/>
        <w:spacing w:lineRule="atLeast" w:line="300"/>
        <w:ind w:firstLine="54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1) в случае замещения должностей государственной гражданской (муниципальной)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(муниципального) управления данными организациями входили в должностные (служебные) обязанности государственного гражданского (муниципального)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>
      <w:pPr>
        <w:pStyle w:val="Normal"/>
        <w:shd w:val="clear" w:color="auto" w:fill="FFFFFF"/>
        <w:spacing w:lineRule="atLeast" w:line="300"/>
        <w:ind w:firstLine="54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153035</wp:posOffset>
                </wp:positionV>
                <wp:extent cx="6172200" cy="19786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786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ind w:firstLine="72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Гражданин, замещавший должности государственной гражданской и муниципальной службы, </w:t>
                            </w:r>
                            <w:hyperlink r:id="rId2">
                              <w:r>
                                <w:rPr>
                                  <w:rStyle w:val="Style11"/>
                                  <w:b/>
                                  <w:bCs/>
                                  <w:szCs w:val="28"/>
                                </w:rPr>
                                <w:t>перечень</w:t>
                              </w:r>
                            </w:hyperlink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3">
                              <w:r>
                                <w:rPr>
                                  <w:rStyle w:val="Style11"/>
                                  <w:b/>
                                  <w:bCs/>
                                  <w:szCs w:val="28"/>
                                </w:rPr>
                                <w:t>части 1</w:t>
                              </w:r>
                            </w:hyperlink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6pt;height:155.8pt;mso-wrap-distance-left:9pt;mso-wrap-distance-right:9pt;mso-wrap-distance-top:0pt;mso-wrap-distance-bottom:0pt;margin-top:12.05pt;mso-position-vertical-relative:text;margin-left:0.05pt;mso-position-horizontal-relative:text">
                <v:textbox>
                  <w:txbxContent>
                    <w:p>
                      <w:pPr>
                        <w:pStyle w:val="Style22"/>
                        <w:ind w:firstLine="720"/>
                        <w:jc w:val="center"/>
                        <w:rPr/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Гражданин, замещавший должности государственной гражданской и муниципальной службы, </w:t>
                      </w:r>
                      <w:hyperlink r:id="rId4">
                        <w:r>
                          <w:rPr>
                            <w:rStyle w:val="Style11"/>
                            <w:b/>
                            <w:bCs/>
                            <w:szCs w:val="28"/>
                          </w:rPr>
                          <w:t>перечень</w:t>
                        </w:r>
                      </w:hyperlink>
                      <w:r>
                        <w:rPr>
                          <w:b/>
                          <w:bCs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5">
                        <w:r>
                          <w:rPr>
                            <w:rStyle w:val="Style11"/>
                            <w:b/>
                            <w:bCs/>
                            <w:szCs w:val="28"/>
                          </w:rPr>
                          <w:t>части 1</w:t>
                        </w:r>
                      </w:hyperlink>
                      <w:r>
                        <w:rPr>
                          <w:b/>
                          <w:bCs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>
        <w:rPr>
          <w:color w:val="000000"/>
          <w:szCs w:val="28"/>
        </w:rPr>
        <w:t>граничения, налагаемые на гражданина, замещавшего должность государственной гражданской или муниципальной службы, при заключении им трудового или гражданско-правового договора:</w:t>
      </w:r>
    </w:p>
    <w:p>
      <w:pPr>
        <w:pStyle w:val="Normal"/>
        <w:ind w:firstLine="720"/>
        <w:jc w:val="both"/>
        <w:rPr/>
      </w:pPr>
      <w:r>
        <w:rPr>
          <w:bCs/>
          <w:color w:val="000000"/>
          <w:szCs w:val="28"/>
        </w:rPr>
        <w:t xml:space="preserve">Гражданин, замещавший должность государственной гражданской или муниципальной службы, включенную в </w:t>
      </w:r>
      <w:hyperlink r:id="rId6">
        <w:r>
          <w:rPr>
            <w:rStyle w:val="Style11"/>
            <w:bCs/>
            <w:color w:val="000000"/>
            <w:szCs w:val="28"/>
          </w:rPr>
          <w:t>перечень</w:t>
        </w:r>
      </w:hyperlink>
      <w:r>
        <w:rPr>
          <w:bCs/>
          <w:color w:val="000000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или муниципальных служащих и урегулированию конфликта интересов.</w:t>
      </w:r>
    </w:p>
    <w:p>
      <w:pPr>
        <w:pStyle w:val="Normal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>
      <w:pPr>
        <w:pStyle w:val="Normal"/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 xml:space="preserve">. Ответственность за несоблюдение </w:t>
      </w:r>
    </w:p>
    <w:p>
      <w:pPr>
        <w:pStyle w:val="Normal"/>
        <w:shd w:val="clear" w:color="auto" w:fill="FFFFFF"/>
        <w:spacing w:lineRule="atLeast" w:line="300"/>
        <w:jc w:val="center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предусмотренных ограничений и запретов</w:t>
      </w:r>
    </w:p>
    <w:p>
      <w:pPr>
        <w:pStyle w:val="Normal"/>
        <w:shd w:val="clear" w:color="auto" w:fill="FFFFFF"/>
        <w:spacing w:lineRule="atLeast" w:line="300"/>
        <w:jc w:val="both"/>
        <w:textAlignment w:val="baseline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13 </w:t>
      </w:r>
      <w:r>
        <w:rPr>
          <w:bCs/>
          <w:color w:val="000000"/>
          <w:szCs w:val="28"/>
        </w:rPr>
        <w:t>Федерального закона № 273-ФЗ</w:t>
      </w:r>
      <w:r>
        <w:rPr>
          <w:rStyle w:val="Appleconvertedspace"/>
          <w:color w:val="000000"/>
          <w:szCs w:val="28"/>
        </w:rPr>
        <w:t> г</w:t>
      </w:r>
      <w:r>
        <w:rPr>
          <w:color w:val="000000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>
      <w:pPr>
        <w:pStyle w:val="Normal"/>
        <w:ind w:firstLine="540"/>
        <w:jc w:val="both"/>
        <w:rPr/>
      </w:pPr>
      <w:r>
        <w:rPr>
          <w:bCs/>
          <w:color w:val="000000"/>
          <w:szCs w:val="28"/>
        </w:rPr>
        <w:t xml:space="preserve">Федеральным законом № 273-ФЗ установлено, что </w:t>
      </w:r>
      <w:r>
        <w:rPr>
          <w:b/>
          <w:bCs/>
          <w:color w:val="000000"/>
          <w:szCs w:val="28"/>
        </w:rPr>
        <w:t>несоблюдение</w:t>
      </w:r>
      <w:r>
        <w:rPr>
          <w:bCs/>
          <w:color w:val="000000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>
        <w:rPr>
          <w:b/>
          <w:bCs/>
          <w:color w:val="000000"/>
          <w:szCs w:val="28"/>
        </w:rPr>
        <w:t>требования</w:t>
      </w:r>
      <w:r>
        <w:rPr>
          <w:bCs/>
          <w:color w:val="000000"/>
          <w:szCs w:val="28"/>
        </w:rPr>
        <w:t xml:space="preserve">, предусмотренного </w:t>
      </w:r>
      <w:hyperlink r:id="rId7">
        <w:r>
          <w:rPr>
            <w:rStyle w:val="Style11"/>
            <w:bCs/>
            <w:color w:val="000000"/>
            <w:szCs w:val="28"/>
          </w:rPr>
          <w:t>частью 2</w:t>
        </w:r>
      </w:hyperlink>
      <w:r>
        <w:rPr>
          <w:bCs/>
          <w:color w:val="000000"/>
          <w:szCs w:val="28"/>
        </w:rPr>
        <w:t xml:space="preserve"> статьи 12, </w:t>
      </w:r>
      <w:r>
        <w:rPr>
          <w:b/>
          <w:bCs/>
          <w:color w:val="000000"/>
          <w:szCs w:val="28"/>
        </w:rPr>
        <w:t>влечет прекращение</w:t>
      </w:r>
      <w:r>
        <w:rPr>
          <w:bCs/>
          <w:color w:val="000000"/>
          <w:szCs w:val="28"/>
        </w:rPr>
        <w:t xml:space="preserve"> трудового или гражданско-правового </w:t>
      </w:r>
      <w:r>
        <w:rPr>
          <w:b/>
          <w:bCs/>
          <w:color w:val="000000"/>
          <w:szCs w:val="28"/>
        </w:rPr>
        <w:t>договора</w:t>
      </w:r>
      <w:r>
        <w:rPr>
          <w:bCs/>
          <w:color w:val="000000"/>
          <w:szCs w:val="28"/>
        </w:rPr>
        <w:t xml:space="preserve"> на выполнение работ (оказание услуг), указанного в </w:t>
      </w:r>
      <w:hyperlink r:id="rId8">
        <w:r>
          <w:rPr>
            <w:rStyle w:val="Style11"/>
            <w:bCs/>
            <w:color w:val="000000"/>
            <w:szCs w:val="28"/>
          </w:rPr>
          <w:t>части 1</w:t>
        </w:r>
      </w:hyperlink>
      <w:r>
        <w:rPr>
          <w:bCs/>
          <w:color w:val="000000"/>
          <w:szCs w:val="28"/>
        </w:rPr>
        <w:t xml:space="preserve"> статьи 12, заключенного с указанным гражданином.</w:t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</w:t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pt;height:135pt;mso-wrap-distance-left:9pt;mso-wrap-distance-right:9pt;mso-wrap-distance-top:0pt;mso-wrap-distance-bottom:0pt;margin-top:1.9pt;mso-position-vertical-relative:text;margin-left:0.05pt;mso-position-horizontal-relative:text">
                <v:textbox>
                  <w:txbxContent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>
                        <w:rPr>
                          <w:b/>
                          <w:bCs/>
                          <w:szCs w:val="28"/>
                        </w:rPr>
                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                </w: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</w:t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Работодатель</w:t>
      </w:r>
      <w:r>
        <w:rPr>
          <w:bCs/>
          <w:color w:val="000000"/>
          <w:szCs w:val="28"/>
        </w:rPr>
        <w:t xml:space="preserve"> при заключении трудового или гражданско-правового договора </w:t>
      </w:r>
    </w:p>
    <w:p>
      <w:pPr>
        <w:pStyle w:val="Normal"/>
        <w:jc w:val="both"/>
        <w:rPr/>
      </w:pPr>
      <w:r>
        <w:rPr>
          <w:bCs/>
          <w:color w:val="000000"/>
          <w:szCs w:val="28"/>
        </w:rPr>
        <w:t xml:space="preserve">на выполнение работ (оказание услуг), указанного в </w:t>
      </w:r>
      <w:hyperlink r:id="rId9">
        <w:r>
          <w:rPr>
            <w:rStyle w:val="Style11"/>
            <w:bCs/>
            <w:color w:val="000000"/>
            <w:szCs w:val="28"/>
          </w:rPr>
          <w:t>части 1</w:t>
        </w:r>
      </w:hyperlink>
      <w:r>
        <w:rPr>
          <w:bCs/>
          <w:color w:val="000000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0">
        <w:r>
          <w:rPr>
            <w:rStyle w:val="Style11"/>
            <w:bCs/>
            <w:color w:val="000000"/>
            <w:szCs w:val="28"/>
          </w:rPr>
          <w:t>перечень</w:t>
        </w:r>
      </w:hyperlink>
      <w:r>
        <w:rPr>
          <w:bCs/>
          <w:color w:val="000000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>
        <w:rPr>
          <w:b/>
          <w:bCs/>
          <w:color w:val="000000"/>
          <w:szCs w:val="28"/>
        </w:rPr>
        <w:t>обязан в десятидневный срок</w:t>
      </w:r>
      <w:r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сообщать</w:t>
      </w:r>
      <w:r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о заключении</w:t>
      </w:r>
      <w:r>
        <w:rPr>
          <w:bCs/>
          <w:color w:val="000000"/>
          <w:szCs w:val="28"/>
        </w:rPr>
        <w:t xml:space="preserve"> такого </w:t>
      </w:r>
      <w:r>
        <w:rPr>
          <w:b/>
          <w:bCs/>
          <w:color w:val="000000"/>
          <w:szCs w:val="28"/>
        </w:rPr>
        <w:t>договора представителю нанимателя</w:t>
      </w:r>
      <w:r>
        <w:rPr>
          <w:bCs/>
          <w:color w:val="000000"/>
          <w:szCs w:val="28"/>
        </w:rPr>
        <w:t xml:space="preserve"> (работодателю) </w:t>
      </w:r>
      <w:r>
        <w:rPr>
          <w:b/>
          <w:bCs/>
          <w:color w:val="000000"/>
          <w:szCs w:val="28"/>
        </w:rPr>
        <w:t>государственного или муниципального служащего</w:t>
      </w:r>
      <w:r>
        <w:rPr>
          <w:bCs/>
          <w:color w:val="000000"/>
          <w:szCs w:val="28"/>
        </w:rPr>
        <w:t xml:space="preserve"> по последнему месту его службы в </w:t>
      </w:r>
      <w:hyperlink r:id="rId11">
        <w:r>
          <w:rPr>
            <w:rStyle w:val="Style11"/>
            <w:bCs/>
            <w:color w:val="000000"/>
            <w:szCs w:val="28"/>
          </w:rPr>
          <w:t>порядке</w:t>
        </w:r>
      </w:hyperlink>
      <w:r>
        <w:rPr>
          <w:bCs/>
          <w:color w:val="000000"/>
          <w:szCs w:val="28"/>
        </w:rPr>
        <w:t>, устанавливаемом нормативными правовыми актами Российской Федерации.</w:t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114300</wp:posOffset>
                </wp:positionV>
                <wp:extent cx="6057900" cy="33204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204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widowControl w:val="false"/>
                              <w:jc w:val="center"/>
                              <w:rPr>
                                <w:b/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(постановление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</w:t>
                            </w:r>
                          </w:p>
                          <w:p>
                            <w:pPr>
                              <w:pStyle w:val="Style22"/>
                              <w:ind w:firstLine="5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pt;height:261.45pt;mso-wrap-distance-left:9pt;mso-wrap-distance-right:9pt;mso-wrap-distance-top:0pt;mso-wrap-distance-bottom:0pt;margin-top:9pt;mso-position-vertical-relative:text;margin-left:0.05pt;mso-position-horizontal-relative:text">
                <v:textbox>
                  <w:txbxContent>
                    <w:p>
                      <w:pPr>
                        <w:pStyle w:val="Style22"/>
                        <w:widowControl w:val="false"/>
                        <w:jc w:val="center"/>
                        <w:rPr>
                          <w:b/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(постановление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</w:t>
                      </w:r>
                    </w:p>
                    <w:p>
                      <w:pPr>
                        <w:pStyle w:val="Style22"/>
                        <w:ind w:firstLine="54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В соответствии со с</w:t>
      </w:r>
      <w:r>
        <w:rPr>
          <w:color w:val="000000"/>
          <w:szCs w:val="28"/>
        </w:rPr>
        <w:t xml:space="preserve">татьей 19.29. Кодекса Российской Федерации об административных правонарушениях </w:t>
      </w:r>
      <w:hyperlink r:id="rId12">
        <w:r>
          <w:rPr>
            <w:rStyle w:val="Style11"/>
            <w:b/>
            <w:color w:val="000000"/>
            <w:szCs w:val="28"/>
          </w:rPr>
          <w:t>привлечение</w:t>
        </w:r>
      </w:hyperlink>
      <w:r>
        <w:rPr>
          <w:b/>
          <w:color w:val="000000"/>
          <w:szCs w:val="28"/>
        </w:rPr>
        <w:t xml:space="preserve"> работодателем</w:t>
      </w:r>
      <w:r>
        <w:rPr>
          <w:color w:val="000000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>
        <w:rPr>
          <w:szCs w:val="28"/>
        </w:rPr>
        <w:t xml:space="preserve">государственного или муниципального служащего, замещающего должность, включенную в </w:t>
      </w:r>
      <w:hyperlink r:id="rId13">
        <w:r>
          <w:rPr>
            <w:rStyle w:val="Style11"/>
            <w:szCs w:val="28"/>
          </w:rPr>
          <w:t>перечень</w:t>
        </w:r>
      </w:hyperlink>
      <w:r>
        <w:rPr>
          <w:szCs w:val="28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4">
        <w:r>
          <w:rPr>
            <w:rStyle w:val="Style11"/>
            <w:szCs w:val="28"/>
          </w:rPr>
          <w:t>законом</w:t>
        </w:r>
      </w:hyperlink>
      <w:r>
        <w:rPr>
          <w:szCs w:val="28"/>
        </w:rPr>
        <w:t xml:space="preserve"> от 25 декабря 2008 года № 273-ФЗ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влечет наложение административного штрафа</w:t>
      </w:r>
      <w:r>
        <w:rPr>
          <w:color w:val="000000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>
      <w:pPr>
        <w:pStyle w:val="NormalWeb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114300</wp:posOffset>
                </wp:positionV>
                <wp:extent cx="6057900" cy="10693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693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2"/>
                              <w:ind w:firstLine="540"/>
                              <w:jc w:val="center"/>
                              <w:rPr>
                                <w:b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установленной </w:t>
                            </w:r>
                            <w:hyperlink r:id="rId15">
                              <w:r>
                                <w:rPr>
                                  <w:rStyle w:val="Style11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частью 4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с </w:t>
                            </w:r>
                            <w:hyperlink r:id="rId16">
                              <w:r>
                                <w:rPr>
                                  <w:rStyle w:val="Style11"/>
                                  <w:b/>
                                  <w:bCs/>
                                  <w:color w:val="000000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7pt;height:84.2pt;mso-wrap-distance-left:9pt;mso-wrap-distance-right:9pt;mso-wrap-distance-top:0pt;mso-wrap-distance-bottom:0pt;margin-top:9pt;mso-position-vertical-relative:text;margin-left:0.05pt;mso-position-horizontal-relative:text">
                <v:textbox>
                  <w:txbxContent>
                    <w:p>
                      <w:pPr>
                        <w:pStyle w:val="Style22"/>
                        <w:ind w:firstLine="540"/>
                        <w:jc w:val="center"/>
                        <w:rPr>
                          <w:b/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>
                      <w:pPr>
                        <w:pStyle w:val="Style22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установленной </w:t>
                      </w:r>
                      <w:hyperlink r:id="rId17">
                        <w:r>
                          <w:rPr>
                            <w:rStyle w:val="Style11"/>
                            <w:b/>
                            <w:bCs/>
                            <w:color w:val="000000"/>
                            <w:szCs w:val="28"/>
                          </w:rPr>
                          <w:t>частью 4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с </w:t>
                      </w:r>
                      <w:hyperlink r:id="rId18">
                        <w:r>
                          <w:rPr>
                            <w:rStyle w:val="Style11"/>
                            <w:b/>
                            <w:bCs/>
                            <w:color w:val="000000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Web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</w:p>
    <w:p>
      <w:pPr>
        <w:pStyle w:val="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Normal"/>
        <w:widowControl w:val="false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>
        <w:rPr>
          <w:b/>
          <w:color w:val="000000"/>
          <w:szCs w:val="28"/>
        </w:rPr>
        <w:t xml:space="preserve">. Конфликт интересов, связанный с взаимодействием 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center"/>
        <w:outlineLvl w:val="1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с бывшим работодателем и трудоустройством после увольнения с государственной гражданской службы, муниципальной службы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0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Конфликт интересов, связанный с взаимодействием с бывшим работодателем и трудоустройством после увольнения с государственной гражданской службы, муниципальной службы отнесен к типовым ситуациям конфликта интересов на гражданской (муниципальной) службе Российской Федерации: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2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Описание ситуации</w:t>
      </w:r>
    </w:p>
    <w:p>
      <w:pPr>
        <w:pStyle w:val="Normal"/>
        <w:widowControl w:val="false"/>
        <w:ind w:firstLine="540"/>
        <w:jc w:val="both"/>
        <w:rPr>
          <w:i/>
          <w:i/>
          <w:color w:val="000000"/>
          <w:szCs w:val="28"/>
        </w:rPr>
      </w:pPr>
      <w:r>
        <w:rPr>
          <w:i/>
          <w:color w:val="000000"/>
          <w:szCs w:val="28"/>
        </w:rPr>
        <w:t>Государственный гражданский (муниципальный) служащий ведет переговоры о трудоустройстве после увольнения с государственной гражданской (муниципальной) службы на работу в организацию, в отношении которой он осуществляет отдельные функции государственного (муниципального) управления.</w:t>
      </w:r>
    </w:p>
    <w:p>
      <w:pPr>
        <w:pStyle w:val="Normal"/>
        <w:widowControl w:val="false"/>
        <w:numPr>
          <w:ilvl w:val="0"/>
          <w:numId w:val="0"/>
        </w:numPr>
        <w:ind w:firstLine="540"/>
        <w:jc w:val="both"/>
        <w:outlineLvl w:val="2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Меры предотвращения и урегулирования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Государственному гражданскому (муниципальному)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(муниципального) управления. При поступлении соответствующих предложений от проверяемой организации государственному гражданскому (муниципальному) служащему рекомендуется отказаться от их обсуждения до момента увольнения с государственной гражданской (муниципальной) службы.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указанные переговоры о последующем трудоустройстве начались, государственному гражданскому (муниципальному)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Представителю нанимателя рекомендуется отстранить государственного гражданского (муниципального)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государственной гражданской (муниципальной) службы.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 трудоустройством бывших государственных гражданских (муниципальных) служащих также связан целый ряд ситуаций, которые могут повлечь конфликт интересов и нанести ущерб репутации государственного органа (органа местного самоуправления), но при этом не могут быть в необходимой степени урегулированы в рамках действующего законодательства, например: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40" w:leader="none"/>
        </w:tabs>
        <w:ind w:lef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бывший государственный гражданский (муниципальный) служащий поступает на работу в частную организацию, регулярно взаимодействующую с государственным органом (органом местного самоуправления), в котором государственный гражданский (муниципальный) служащий ранее замещал должность;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40" w:leader="none"/>
        </w:tabs>
        <w:ind w:lef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бывший государственный гражданский (муниципальный) служащий создает собственную организацию, существенной частью деятельности которой является взаимодействие с государственным органом (органом местного самоуправления), в котором государственный гражданский (муниципальный) служащий ранее замещал должность;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40" w:leader="none"/>
        </w:tabs>
        <w:ind w:left="0" w:hanging="0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государственный гражданский (муниципальный) служащий продвигает определенные проекты с тем, чтобы после увольнения с государственной гражданской (муниципальной) службы заниматься их реализацией.</w:t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widowControl w:val="false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pBdr/>
        <w:shd w:val="clear" w:color="auto" w:fill="FFFFFF"/>
        <w:spacing w:lineRule="atLeast" w:line="300"/>
        <w:jc w:val="both"/>
        <w:textAlignment w:val="baseline"/>
        <w:rPr/>
      </w:pPr>
      <w:r>
        <w:rPr/>
      </w:r>
    </w:p>
    <w:sectPr>
      <w:type w:val="nextPage"/>
      <w:pgSz w:w="11906" w:h="16838"/>
      <w:pgMar w:left="1134" w:right="567" w:header="0" w:top="719" w:footer="0" w:bottom="719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11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1">
    <w:name w:val="Заголовок 1"/>
    <w:basedOn w:val="Normal"/>
    <w:qFormat/>
    <w:rsid w:val="00b975ec"/>
    <w:pPr>
      <w:keepNext/>
      <w:jc w:val="center"/>
      <w:outlineLvl w:val="0"/>
    </w:pPr>
    <w:rPr>
      <w:b/>
    </w:rPr>
  </w:style>
  <w:style w:type="paragraph" w:styleId="2">
    <w:name w:val="Заголовок 2"/>
    <w:basedOn w:val="Normal"/>
    <w:qFormat/>
    <w:rsid w:val="00b975ec"/>
    <w:pPr>
      <w:keepNext/>
      <w:jc w:val="both"/>
      <w:outlineLvl w:val="1"/>
    </w:pPr>
    <w:rPr>
      <w:b/>
    </w:rPr>
  </w:style>
  <w:style w:type="paragraph" w:styleId="3">
    <w:name w:val="Заголовок 3"/>
    <w:basedOn w:val="Normal"/>
    <w:qFormat/>
    <w:rsid w:val="00a03d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qFormat/>
    <w:rsid w:val="00a03de8"/>
    <w:pPr>
      <w:keepNext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f76d2"/>
    <w:rPr/>
  </w:style>
  <w:style w:type="character" w:styleId="FontStyle43" w:customStyle="1">
    <w:name w:val="Font Style43"/>
    <w:basedOn w:val="DefaultParagraphFont"/>
    <w:qFormat/>
    <w:rsid w:val="004d176c"/>
    <w:rPr>
      <w:rFonts w:ascii="Times New Roman" w:hAnsi="Times New Roman" w:cs="Times New Roman"/>
      <w:sz w:val="26"/>
      <w:szCs w:val="26"/>
    </w:rPr>
  </w:style>
  <w:style w:type="character" w:styleId="FontStyle58" w:customStyle="1">
    <w:name w:val="Font Style58"/>
    <w:basedOn w:val="DefaultParagraphFont"/>
    <w:qFormat/>
    <w:rsid w:val="004d176c"/>
    <w:rPr>
      <w:rFonts w:ascii="Times New Roman" w:hAnsi="Times New Roman" w:cs="Times New Roman"/>
      <w:b/>
      <w:bCs/>
      <w:sz w:val="26"/>
      <w:szCs w:val="26"/>
    </w:rPr>
  </w:style>
  <w:style w:type="character" w:styleId="FontStyle12" w:customStyle="1">
    <w:name w:val="Font Style12"/>
    <w:basedOn w:val="DefaultParagraphFont"/>
    <w:qFormat/>
    <w:rsid w:val="00e745b8"/>
    <w:rPr>
      <w:rFonts w:ascii="Times New Roman" w:hAnsi="Times New Roman" w:cs="Times New Roman"/>
      <w:sz w:val="26"/>
      <w:szCs w:val="26"/>
    </w:rPr>
  </w:style>
  <w:style w:type="character" w:styleId="Style10" w:customStyle="1">
    <w:name w:val="Обычный (веб) Знак"/>
    <w:basedOn w:val="DefaultParagraphFont"/>
    <w:link w:val="ac"/>
    <w:uiPriority w:val="99"/>
    <w:qFormat/>
    <w:rsid w:val="008c5659"/>
    <w:rPr>
      <w:rFonts w:ascii="Tahoma" w:hAnsi="Tahoma" w:cs="Tahoma"/>
      <w:color w:val="000000"/>
      <w:sz w:val="18"/>
      <w:szCs w:val="18"/>
    </w:rPr>
  </w:style>
  <w:style w:type="character" w:styleId="Applestylespan" w:customStyle="1">
    <w:name w:val="apple-style-span"/>
    <w:basedOn w:val="DefaultParagraphFont"/>
    <w:qFormat/>
    <w:rsid w:val="008c5659"/>
    <w:rPr/>
  </w:style>
  <w:style w:type="character" w:styleId="Appleconvertedspace" w:customStyle="1">
    <w:name w:val="apple-converted-space"/>
    <w:basedOn w:val="DefaultParagraphFont"/>
    <w:qFormat/>
    <w:rsid w:val="008c5659"/>
    <w:rPr/>
  </w:style>
  <w:style w:type="character" w:styleId="Style11">
    <w:name w:val="Интернет-ссылка"/>
    <w:basedOn w:val="DefaultParagraphFont"/>
    <w:uiPriority w:val="99"/>
    <w:unhideWhenUsed/>
    <w:rsid w:val="008c565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color w:val="00000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rsid w:val="00b975ec"/>
    <w:pPr>
      <w:ind w:firstLine="709"/>
      <w:jc w:val="both"/>
    </w:pPr>
    <w:rPr/>
  </w:style>
  <w:style w:type="paragraph" w:styleId="Style18">
    <w:name w:val="Верхний колонтитул"/>
    <w:basedOn w:val="Normal"/>
    <w:rsid w:val="009c2daa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basedOn w:val="Normal"/>
    <w:rsid w:val="009c2da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0f76d2"/>
    <w:pPr/>
    <w:rPr>
      <w:rFonts w:ascii="Tahoma" w:hAnsi="Tahoma" w:cs="Tahoma"/>
      <w:sz w:val="16"/>
      <w:szCs w:val="16"/>
    </w:rPr>
  </w:style>
  <w:style w:type="paragraph" w:styleId="Style20">
    <w:name w:val="Заглавие"/>
    <w:basedOn w:val="Normal"/>
    <w:qFormat/>
    <w:rsid w:val="00a03de8"/>
    <w:pPr>
      <w:jc w:val="center"/>
    </w:pPr>
    <w:rPr/>
  </w:style>
  <w:style w:type="paragraph" w:styleId="Style24" w:customStyle="1">
    <w:name w:val="Style24"/>
    <w:basedOn w:val="Normal"/>
    <w:qFormat/>
    <w:rsid w:val="004d176c"/>
    <w:pPr>
      <w:widowControl w:val="false"/>
      <w:spacing w:lineRule="exact" w:line="358"/>
      <w:ind w:firstLine="725"/>
      <w:jc w:val="both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6a0c7d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7424b0"/>
    <w:pPr>
      <w:widowControl w:val="false"/>
      <w:suppressAutoHyphens w:val="true"/>
      <w:bidi w:val="0"/>
      <w:jc w:val="left"/>
    </w:pPr>
    <w:rPr>
      <w:rFonts w:ascii="Arial" w:hAnsi="Arial" w:cs="Arial" w:eastAsia="Times New Roman"/>
      <w:color w:val="auto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9d30ce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8"/>
      <w:szCs w:val="20"/>
      <w:lang w:val="ru-RU" w:eastAsia="ru-RU" w:bidi="ar-SA"/>
    </w:rPr>
  </w:style>
  <w:style w:type="paragraph" w:styleId="11" w:customStyle="1">
    <w:name w:val="Знак Знак Знак Знак Знак Знак Знак Знак Знак Знак Знак Знак1"/>
    <w:basedOn w:val="Normal"/>
    <w:qFormat/>
    <w:rsid w:val="008c5659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Style21" w:customStyle="1">
    <w:name w:val="Знак Знак Знак Знак Знак Знак Знак Знак Знак Знак Знак Знак"/>
    <w:basedOn w:val="Normal"/>
    <w:qFormat/>
    <w:rsid w:val="00c65437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9368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link w:val="ad"/>
    <w:qFormat/>
    <w:rsid w:val="008c5659"/>
    <w:pPr/>
    <w:rPr>
      <w:rFonts w:ascii="Tahoma" w:hAnsi="Tahoma" w:cs="Tahoma"/>
      <w:color w:val="000000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d17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8EF6CD79D65F669EE72E56ABC35F573FCF9AD6EC59B5695DB62828BFEACD885F863D81D0AB61879W7t9J" TargetMode="External"/><Relationship Id="rId3" Type="http://schemas.openxmlformats.org/officeDocument/2006/relationships/hyperlink" Target="consultantplus://offline/ref=88EF6CD79D65F669EE72E56ABC35F573FCFAA76FCE985695DB62828BFEACD885F863D81EW0t3J" TargetMode="External"/><Relationship Id="rId4" Type="http://schemas.openxmlformats.org/officeDocument/2006/relationships/hyperlink" Target="consultantplus://offline/ref=88EF6CD79D65F669EE72E56ABC35F573FCF9AD6EC59B5695DB62828BFEACD885F863D81D0AB61879W7t9J" TargetMode="External"/><Relationship Id="rId5" Type="http://schemas.openxmlformats.org/officeDocument/2006/relationships/hyperlink" Target="consultantplus://offline/ref=88EF6CD79D65F669EE72E56ABC35F573FCFAA76FCE985695DB62828BFEACD885F863D81EW0t3J" TargetMode="External"/><Relationship Id="rId6" Type="http://schemas.openxmlformats.org/officeDocument/2006/relationships/hyperlink" Target="consultantplus://offline/ref=88EF6CD79D65F669EE72E56ABC35F573FCF9AD6EC59B5695DB62828BFEACD885F863D81D0AB61879W7t9J" TargetMode="External"/><Relationship Id="rId7" Type="http://schemas.openxmlformats.org/officeDocument/2006/relationships/hyperlink" Target="consultantplus://offline/ref=88EF6CD79D65F669EE72E56ABC35F573FCFAA76FCE985695DB62828BFEACD885F863D81D0AB61979W7t8J" TargetMode="External"/><Relationship Id="rId8" Type="http://schemas.openxmlformats.org/officeDocument/2006/relationships/hyperlink" Target="consultantplus://offline/ref=88EF6CD79D65F669EE72E56ABC35F573FCFAA76FCE985695DB62828BFEACD885F863D81EW0t3J" TargetMode="External"/><Relationship Id="rId9" Type="http://schemas.openxmlformats.org/officeDocument/2006/relationships/hyperlink" Target="consultantplus://offline/ref=88EF6CD79D65F669EE72E56ABC35F573FCFAA76FCE985695DB62828BFEACD885F863D81EW0t3J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1" Type="http://schemas.openxmlformats.org/officeDocument/2006/relationships/hyperlink" Target="consultantplus://offline/ref=88EF6CD79D65F669EE72E56ABC35F573FCF9AB6CC5985695DB62828BFEWAtCJ" TargetMode="External"/><Relationship Id="rId12" Type="http://schemas.openxmlformats.org/officeDocument/2006/relationships/hyperlink" Target="consultantplus://offline/ref=CDD62B79804EADAD70EBEC0F9E126BD52C4F30709737EC2D745F9F4E25BE51CE98276017CE7B3Cn0K" TargetMode="External"/><Relationship Id="rId13" Type="http://schemas.openxmlformats.org/officeDocument/2006/relationships/hyperlink" Target="consultantplus://offline/ref=5DD88AA9766EF0E873BE152B9A18235151E3C86D64BB20DFF0E3EF90A25A6670B18A59AF7FEA05CFg5A6L" TargetMode="External"/><Relationship Id="rId14" Type="http://schemas.openxmlformats.org/officeDocument/2006/relationships/hyperlink" Target="consultantplus://offline/ref=5DD88AA9766EF0E873BE152B9A18235151E7CC686DBE20DFF0E3EF90A25A6670B18A59ACg7A7L" TargetMode="External"/><Relationship Id="rId15" Type="http://schemas.openxmlformats.org/officeDocument/2006/relationships/hyperlink" Target="consultantplus://offline/ref=88EF6CD79D65F669EE72E56ABC35F573FCFAA76FCE985695DB62828BFEACD885F863D81D0AB61979W7t6J" TargetMode="External"/><Relationship Id="rId16" Type="http://schemas.openxmlformats.org/officeDocument/2006/relationships/hyperlink" Target="consultantplus://offline/ref=88EF6CD79D65F669EE72E56ABC35F573FCFDAD6CCA915695DB62828BFEACD885F863D81D0AB21B7AW7tCJ" TargetMode="External"/><Relationship Id="rId17" Type="http://schemas.openxmlformats.org/officeDocument/2006/relationships/hyperlink" Target="consultantplus://offline/ref=88EF6CD79D65F669EE72E56ABC35F573FCFAA76FCE985695DB62828BFEACD885F863D81D0AB61979W7t6J" TargetMode="External"/><Relationship Id="rId18" Type="http://schemas.openxmlformats.org/officeDocument/2006/relationships/hyperlink" Target="consultantplus://offline/ref=88EF6CD79D65F669EE72E56ABC35F573FCFDAD6CCA915695DB62828BFEACD885F863D81D0AB21B7AW7tCJ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LibreOffice/4.4.0.3$Windows_x86 LibreOffice_project/de093506bcdc5fafd9023ee680b8c60e3e0645d7</Application>
  <Paragraphs>41</Paragraphs>
  <Company>Правительство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2013-08-06T05:48:00Z</dcterms:created>
  <dc:creator>Kostousov.SE</dc:creator>
  <dc:language>ru-RU</dc:language>
  <cp:lastModifiedBy>LVA</cp:lastModifiedBy>
  <cp:lastPrinted>2013-08-01T12:12:00Z</cp:lastPrinted>
  <dcterms:modified xsi:type="dcterms:W3CDTF">2013-08-06T05:49:00Z</dcterms:modified>
  <cp:revision>3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Правительство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