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466"/>
        <w:tblW w:w="3915" w:type="dxa"/>
        <w:tblLayout w:type="fixed"/>
        <w:tblLook w:val="01E0" w:firstRow="1" w:lastRow="1" w:firstColumn="1" w:lastColumn="1" w:noHBand="0" w:noVBand="0"/>
      </w:tblPr>
      <w:tblGrid>
        <w:gridCol w:w="3915"/>
      </w:tblGrid>
      <w:tr w:rsidR="002B765D" w:rsidRPr="002B765D" w:rsidTr="002B765D">
        <w:trPr>
          <w:trHeight w:val="1983"/>
        </w:trPr>
        <w:tc>
          <w:tcPr>
            <w:tcW w:w="3911" w:type="dxa"/>
          </w:tcPr>
          <w:p w:rsidR="002B765D" w:rsidRPr="002B765D" w:rsidRDefault="002B765D" w:rsidP="002B76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65D" w:rsidRPr="002B765D" w:rsidRDefault="002B765D" w:rsidP="002B76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65D" w:rsidRPr="002B765D" w:rsidRDefault="002B765D" w:rsidP="002B76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B765D" w:rsidRPr="002B765D" w:rsidRDefault="002B765D" w:rsidP="002B76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   администрации Никольского муниципального района</w:t>
            </w:r>
          </w:p>
          <w:p w:rsidR="002B765D" w:rsidRPr="002B765D" w:rsidRDefault="002B765D" w:rsidP="002B76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____________А.Н. </w:t>
            </w:r>
            <w:proofErr w:type="spellStart"/>
            <w:r w:rsidRPr="002B765D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</w:p>
          <w:p w:rsidR="002B765D" w:rsidRPr="002B765D" w:rsidRDefault="002B765D" w:rsidP="002B765D">
            <w:pPr>
              <w:widowControl w:val="0"/>
              <w:tabs>
                <w:tab w:val="left" w:pos="3420"/>
                <w:tab w:val="left" w:pos="5220"/>
                <w:tab w:val="left" w:pos="75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B765D" w:rsidRPr="002B765D" w:rsidRDefault="002B765D" w:rsidP="002B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2B765D" w:rsidRPr="002B765D" w:rsidRDefault="002B765D" w:rsidP="002B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2B765D" w:rsidRPr="002B765D" w:rsidRDefault="002B765D" w:rsidP="002B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Pr="002B76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межрайонного предновогоднего турнира</w:t>
      </w:r>
    </w:p>
    <w:p w:rsidR="002B765D" w:rsidRPr="002B765D" w:rsidRDefault="002B765D" w:rsidP="002B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команд ветеранов-пенсионеров</w:t>
      </w:r>
    </w:p>
    <w:p w:rsidR="002B765D" w:rsidRPr="002B765D" w:rsidRDefault="002B765D" w:rsidP="002B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65D" w:rsidRPr="002B765D" w:rsidRDefault="002B765D" w:rsidP="002B765D">
      <w:pPr>
        <w:numPr>
          <w:ilvl w:val="0"/>
          <w:numId w:val="1"/>
        </w:numPr>
        <w:spacing w:after="0" w:line="240" w:lineRule="auto"/>
        <w:ind w:left="0" w:hanging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B765D" w:rsidRPr="002B765D" w:rsidRDefault="002B765D" w:rsidP="002B765D">
      <w:pPr>
        <w:spacing w:after="12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Межрайонный  турнир среди команд ветеранов-пенсионеров, (далее-соревнования) проводится в соответствии с календарным планом официальных физкультурно-оздоровительных  мероприятий и спортивных соревнований, проводимых на территории   Никольского муниципального района на 2019 год, утвержденного распоряжением администрации Никольского района от 28.12.2018 №681-Р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задачи: соревнования проводятся в целях дальнейшего развития физической культуры и спорта среди ветеранов-пенсионеров.</w:t>
      </w:r>
    </w:p>
    <w:p w:rsidR="002B765D" w:rsidRPr="002B765D" w:rsidRDefault="002B765D" w:rsidP="002B76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 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декабря  2019 года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г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Никольск, ул.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Заречная, д.8 «Д»</w:t>
      </w:r>
      <w:proofErr w:type="gram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до 9:30 часов, судейская в 9.30.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соревнований в 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 часов</w:t>
      </w:r>
    </w:p>
    <w:p w:rsidR="002B765D" w:rsidRPr="002B765D" w:rsidRDefault="002B765D" w:rsidP="002B76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соревнований</w:t>
      </w:r>
    </w:p>
    <w:p w:rsidR="002B765D" w:rsidRPr="002B765D" w:rsidRDefault="002B765D" w:rsidP="002B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организацией проведения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МБУ «Никольский ФОК» и главную судейскую коллегию.</w:t>
      </w:r>
    </w:p>
    <w:p w:rsidR="002B765D" w:rsidRPr="002B765D" w:rsidRDefault="002B765D" w:rsidP="002B76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и условия их допуска к соревнованиям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команды </w:t>
      </w:r>
      <w:r w:rsidR="00EA184D"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Бабушкинского</w:t>
      </w:r>
      <w:r w:rsidR="00EA1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84D"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В-</w:t>
      </w:r>
      <w:proofErr w:type="spellStart"/>
      <w:r w:rsidR="00EA184D"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Устюгского</w:t>
      </w:r>
      <w:proofErr w:type="spellEnd"/>
      <w:r w:rsidR="00EA1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84D"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К-Городецкого</w:t>
      </w:r>
      <w:r w:rsidR="00EA1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84D"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</w:t>
      </w:r>
      <w:r w:rsidR="00EA18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84D"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Нюксенского</w:t>
      </w:r>
      <w:proofErr w:type="spell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Тарногского</w:t>
      </w:r>
      <w:proofErr w:type="spell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184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Тотемского</w:t>
      </w:r>
      <w:proofErr w:type="spell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районов Вологодской области; команда </w:t>
      </w:r>
      <w:proofErr w:type="spell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области; команды Ветлужского и </w:t>
      </w:r>
      <w:proofErr w:type="spell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Шахунского</w:t>
      </w:r>
      <w:proofErr w:type="spell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Нижегородской области</w:t>
      </w:r>
      <w:proofErr w:type="gram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не более 10 человек, </w:t>
      </w:r>
      <w:proofErr w:type="spell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. 5 мужчин и 5 женщин. Возраст участников на день соревнований мужчины 60 лет и ст.,  женщины 55 лет и старше.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40"/>
        <w:gridCol w:w="15"/>
        <w:gridCol w:w="2865"/>
        <w:gridCol w:w="15"/>
        <w:gridCol w:w="2910"/>
      </w:tblGrid>
      <w:tr w:rsidR="002B765D" w:rsidRPr="002B765D" w:rsidTr="002B765D">
        <w:trPr>
          <w:trHeight w:val="2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Виды программы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кол-во участников от одной команды на каждый вид программы соревнований</w:t>
            </w:r>
          </w:p>
        </w:tc>
      </w:tr>
      <w:tr w:rsidR="002B765D" w:rsidRPr="002B765D" w:rsidTr="002B765D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D" w:rsidRPr="002B765D" w:rsidRDefault="002B765D" w:rsidP="002B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D" w:rsidRPr="002B765D" w:rsidRDefault="002B765D" w:rsidP="002B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2B765D" w:rsidRPr="002B765D" w:rsidTr="002B765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765D" w:rsidRPr="002B765D" w:rsidTr="002B765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эстафета (6 участников)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765D" w:rsidRPr="002B765D" w:rsidTr="002B765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765D" w:rsidRPr="002B765D" w:rsidTr="002B765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765D" w:rsidRPr="002B765D" w:rsidTr="002B765D">
        <w:trPr>
          <w:trHeight w:val="3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Pr="002B765D">
        <w:rPr>
          <w:rFonts w:ascii="Times New Roman" w:eastAsia="Calibri" w:hAnsi="Times New Roman" w:cs="Times New Roman"/>
          <w:i/>
          <w:sz w:val="24"/>
          <w:szCs w:val="24"/>
        </w:rPr>
        <w:t xml:space="preserve">Примечание: В данной таблице указано максимальное количество участников, которое может заявить каждая команда на каждый вид турнира </w:t>
      </w:r>
      <w:proofErr w:type="gramStart"/>
      <w:r w:rsidRPr="002B765D">
        <w:rPr>
          <w:rFonts w:ascii="Times New Roman" w:eastAsia="Calibri" w:hAnsi="Times New Roman" w:cs="Times New Roman"/>
          <w:i/>
          <w:sz w:val="24"/>
          <w:szCs w:val="24"/>
        </w:rPr>
        <w:t>при</w:t>
      </w:r>
      <w:proofErr w:type="gramEnd"/>
      <w:r w:rsidRPr="002B765D">
        <w:rPr>
          <w:rFonts w:ascii="Times New Roman" w:eastAsia="Calibri" w:hAnsi="Times New Roman" w:cs="Times New Roman"/>
          <w:i/>
          <w:sz w:val="24"/>
          <w:szCs w:val="24"/>
        </w:rPr>
        <w:t xml:space="preserve"> условия соблюдения участниками  регламента проведения соревнований  по видам спорта программы турнира. Если участник, </w:t>
      </w:r>
      <w:proofErr w:type="gramStart"/>
      <w:r w:rsidRPr="002B765D">
        <w:rPr>
          <w:rFonts w:ascii="Times New Roman" w:eastAsia="Calibri" w:hAnsi="Times New Roman" w:cs="Times New Roman"/>
          <w:i/>
          <w:sz w:val="24"/>
          <w:szCs w:val="24"/>
        </w:rPr>
        <w:t>заявляется</w:t>
      </w:r>
      <w:proofErr w:type="gramEnd"/>
      <w:r w:rsidRPr="002B765D">
        <w:rPr>
          <w:rFonts w:ascii="Times New Roman" w:eastAsia="Calibri" w:hAnsi="Times New Roman" w:cs="Times New Roman"/>
          <w:i/>
          <w:sz w:val="24"/>
          <w:szCs w:val="24"/>
        </w:rPr>
        <w:t xml:space="preserve"> на 2 или более вида  программы, которые совпадают по времени проведения,  то в случае опоздания данного участника    на вид программы,  ему засчитывается поражение в данной дисциплине. 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ДАРТС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выполняют упражнение «Набор очков» на стандартной стороне мишени (10 серий по 3 дротика). </w:t>
      </w:r>
      <w:r w:rsidRPr="002B765D">
        <w:rPr>
          <w:rFonts w:ascii="Times New Roman" w:eastAsia="Calibri" w:hAnsi="Times New Roman" w:cs="Times New Roman"/>
          <w:sz w:val="24"/>
          <w:szCs w:val="24"/>
        </w:rPr>
        <w:t>Все участники соревнований должны иметь свои дротики.</w:t>
      </w:r>
    </w:p>
    <w:p w:rsidR="002B765D" w:rsidRPr="002B765D" w:rsidRDefault="002B765D" w:rsidP="002B765D">
      <w:pPr>
        <w:spacing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Соревнования лично-командные, победитель определяется раздельно среди мужчин и женщин. Личное первенство  определяется по наибольшей сумме очков, набранных участником в 10 сериях бросков.                                                                                                                                                                     Командное первенство определяется по наименьшей сумме занятых мест -  2 лучших результата от мужчин и 2 лучших результата от женщин из числа участников команды.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СТРЕЛЬБА ИЗ ПНЕВМАТИЧЕСКОЙ ВИНТОВКИ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упражнение ВП 1 (мишень №8, 3 пробных и  10 зачетных выстрелов, дистанция 10м., из </w:t>
      </w:r>
      <w:proofErr w:type="gram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 опорой на локти). Общее время на выполнение упражнения  10 минут.</w:t>
      </w: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В соответствии с правилами по виду спорта пулевая стрельба, участники используют свое пневматическое оружие, работающее  на сжатом воздухе или газе, прицелы открытый или диоптрический, свинцовые пульки.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Соревнования лично-командные, победитель определяется раздельно среди мужчин и женщин.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Личное первенство  определяется по наибольшей сумме очков, набранных участником.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Командное первенство определяется по наименьшей сумме занятых мест -  2 лучших результата от мужчин и 2 лучших результата от женщин из числа участников команды.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6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НАСТОЛЬНЫЙ ТЕННИС</w:t>
      </w:r>
    </w:p>
    <w:p w:rsidR="002B765D" w:rsidRPr="002B765D" w:rsidRDefault="002B765D" w:rsidP="002B765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765D">
        <w:rPr>
          <w:rFonts w:ascii="Times New Roman" w:eastAsia="Calibri" w:hAnsi="Times New Roman" w:cs="Times New Roman"/>
          <w:sz w:val="24"/>
          <w:szCs w:val="24"/>
        </w:rPr>
        <w:tab/>
        <w:t>Соревнования лично-командные, победитель определяется по лучшему результату раздельно среди мужчин и женщин.  Соревнования проводятся по усовершенствованной олимпийской системе +2 с определением всех мест.                                                                                                       Зачет по 1 лучшему результату мужчины и 1 лучшему результату женщины от команды. Командное первенство определяется по наименьшей сумме мест зачетных участников.            Все участники должны иметь свои ракетки и мячи.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ШАХМАТЫ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Лично-командное первенство.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проведения соревнований будет определена в зависимости от количества участников. Зачет по 1 лучшему результату от мужчин и женщин.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Личное первенство определяется раздельно среди мужчин и женщин по показанному результату.</w:t>
      </w:r>
    </w:p>
    <w:p w:rsidR="002B765D" w:rsidRPr="002B765D" w:rsidRDefault="002B765D" w:rsidP="002B765D">
      <w:pPr>
        <w:spacing w:line="260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Командное первенство определяется по наименьшей сумме занятых мест зачетными участниками.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Команду в эстафете представляют 3 мужчины и 3 женщины. Командное первенство определяется по лучшему времени,  показанному командой в эстафете по сумме 6 этапов.                                                                           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этап: Бег со скакалкой                                             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   осуществляет бег через скакалку по прямой (каждый свой шаг  обязан произвести, прыгая через скакалку).                                                         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2этап: </w:t>
      </w:r>
      <w:proofErr w:type="gramStart"/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Ведение  войлочного теннисного мяча хоккейной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конусами (расстояние между ними 2м, на дистанции 10 конусов).</w:t>
      </w:r>
      <w:proofErr w:type="gram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уронил конус во время движения, то он должен вернуться и поставить конус на место.                                                                               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этап: Бег с теннисной ракеткой и чеканкой мяча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proofErr w:type="gram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между конусами держа</w:t>
      </w:r>
      <w:proofErr w:type="gram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ракетку для настольного тенниса и чеканя шарик.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падении мяча участник возвращается на место падения мяча и продолжает движение.   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этап: Ведение футбольного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мяча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Участник ведет футбольный мяч ногами между 10 конусами. Если во время движения участник сбил конус, он должен вернуться и поставить его на место.                                                                        5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этап: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Гладкий бег между  конусами</w:t>
      </w:r>
      <w:proofErr w:type="gramStart"/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ыполняется простой гладкий бег между 10 конусами.      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6-й этап: ведение баскетбольного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мяча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Участник ведет баскетбольный мяч руками между 10 конусами, из под кольца он должен поразить кольцо. Если вовремя движения он сбил конус, он должен вернуться на место   и поставить конус, а затем продолжить движение. Секундомер выключается,  когда после попадания в кольцо мяч ударится об пол.                                                                                                            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 проведения комбинированной эстафеты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Протяженность каждого этапа составляет 2 длины периметра баскетбольной  площадки (приблизительно 40м). Нарушением является только сбитый (уроненный) конус  участником  во время выполнения упражнения.  На дистанции этапа  10 конусов, за каждый не пройденный конус штраф 3 секунды. Состав команд на эстафете обязательно должен быть из 6 человек (3 женщины и 3 мужчины).     Расстояние между конусами 2 метра. Все участники команд имеют право использовать свой инвентарь для выполнения видов эстафеты, а в случае отсутствия инвентаря  он предоставляется организаторами соревнований.                                                                                                                                         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A155CE" w:rsidP="00A155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B765D"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определения победителей</w:t>
      </w:r>
    </w:p>
    <w:p w:rsidR="002B765D" w:rsidRPr="002B765D" w:rsidRDefault="002B765D" w:rsidP="002B76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первенство определяется раздельно среди мужчин и женщин.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</w:t>
      </w:r>
      <w:proofErr w:type="spellEnd"/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победители определяются по наибольшему количеству набранных очков в 10 сериях. В случае равенства набранных очков преимущество отдается участнику, имеющему лучший результат 10,9 и т.д. серию.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Стрельба - победитель определяется по наибольшему количеству набранных очков в упражнении. В случае равенства набранных очков преимущество отдается участнику, имеющему лучший результат, начиная с последней серии и т.д.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="00261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тольный теннис, эстафета и шахматы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победитель определяется по показанному результату.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турнира в общекомандном первенстве определяется по наименьшей сумме занятых </w:t>
      </w:r>
      <w:r w:rsidR="00965807" w:rsidRPr="00A155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в командном первенстве  5 видов</w:t>
      </w:r>
      <w:r w:rsidRPr="00A1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соревнований.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65D" w:rsidRPr="002B765D" w:rsidRDefault="002B765D" w:rsidP="002B765D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65D">
        <w:rPr>
          <w:rFonts w:ascii="Times New Roman" w:eastAsia="Calibri" w:hAnsi="Times New Roman" w:cs="Times New Roman"/>
          <w:sz w:val="24"/>
          <w:szCs w:val="24"/>
        </w:rPr>
        <w:t>В случае равенства набранных очков у 2-х или более команд преимущество отдается команде имеющей больше 1</w:t>
      </w:r>
      <w:r w:rsidR="00965807">
        <w:rPr>
          <w:rFonts w:ascii="Times New Roman" w:eastAsia="Calibri" w:hAnsi="Times New Roman" w:cs="Times New Roman"/>
          <w:sz w:val="24"/>
          <w:szCs w:val="24"/>
        </w:rPr>
        <w:t>,</w:t>
      </w: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="00965807">
        <w:rPr>
          <w:rFonts w:ascii="Times New Roman" w:eastAsia="Calibri" w:hAnsi="Times New Roman" w:cs="Times New Roman"/>
          <w:sz w:val="24"/>
          <w:szCs w:val="24"/>
        </w:rPr>
        <w:t>,</w:t>
      </w: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3  и </w:t>
      </w:r>
      <w:proofErr w:type="spellStart"/>
      <w:r w:rsidRPr="002B765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2B765D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мест   занятых командой по видам спорта программы турнира,  а в случае равенства и этого показателя преимущество отдается команде имеющей больше 1</w:t>
      </w:r>
      <w:r w:rsidR="00965807">
        <w:rPr>
          <w:rFonts w:ascii="Times New Roman" w:eastAsia="Calibri" w:hAnsi="Times New Roman" w:cs="Times New Roman"/>
          <w:sz w:val="24"/>
          <w:szCs w:val="24"/>
        </w:rPr>
        <w:t>,</w:t>
      </w:r>
      <w:r w:rsidRPr="002B765D">
        <w:rPr>
          <w:rFonts w:ascii="Times New Roman" w:eastAsia="Calibri" w:hAnsi="Times New Roman" w:cs="Times New Roman"/>
          <w:sz w:val="24"/>
          <w:szCs w:val="24"/>
        </w:rPr>
        <w:t>2</w:t>
      </w:r>
      <w:r w:rsidR="00965807">
        <w:rPr>
          <w:rFonts w:ascii="Times New Roman" w:eastAsia="Calibri" w:hAnsi="Times New Roman" w:cs="Times New Roman"/>
          <w:sz w:val="24"/>
          <w:szCs w:val="24"/>
        </w:rPr>
        <w:t>,</w:t>
      </w: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3 и т.д. мест в личном первенстве участников команды по видам спорта, а в случае равенства и этого показателя,  преимущество отдается команде имеющей лучший результат в комбинированной эстафете. </w:t>
      </w:r>
    </w:p>
    <w:p w:rsidR="002B765D" w:rsidRPr="002B765D" w:rsidRDefault="002B765D" w:rsidP="002B765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неучастие в эстафете или участника команда получает результат последнего участника в эстафете или видах программы.</w:t>
      </w:r>
    </w:p>
    <w:p w:rsidR="002B765D" w:rsidRPr="002B765D" w:rsidRDefault="002B765D" w:rsidP="002B76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1-3 место в общекомандном первенстве,  награждаются кубками и грамотами.</w:t>
      </w:r>
    </w:p>
    <w:p w:rsidR="002B765D" w:rsidRPr="002B765D" w:rsidRDefault="002B765D" w:rsidP="002B76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занявшие 1-3 место в комбинированной э</w:t>
      </w:r>
      <w:r w:rsidR="00A155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стафете, награждаются грамотами и медалями.</w:t>
      </w:r>
    </w:p>
    <w:p w:rsidR="00A155CE" w:rsidRDefault="002B765D" w:rsidP="00A1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1-3 места в личном первенстве по видам спорта, награждаются грамотами и медалями.</w:t>
      </w:r>
      <w:r w:rsidR="00965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5CE" w:rsidRDefault="00A155CE" w:rsidP="00A15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A155CE" w:rsidP="00A155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2B765D"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участников и зрителей</w:t>
      </w:r>
    </w:p>
    <w:p w:rsidR="002B765D" w:rsidRPr="002B765D" w:rsidRDefault="002B765D" w:rsidP="002B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на объектах  спорта, отвечающим требованиям соответствующих нормативных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  </w:t>
      </w:r>
    </w:p>
    <w:p w:rsidR="002B765D" w:rsidRPr="002B765D" w:rsidRDefault="002B765D" w:rsidP="002B7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B765D" w:rsidRPr="002B765D" w:rsidRDefault="00A155CE" w:rsidP="00A155C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2B765D"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финансирования</w:t>
      </w:r>
    </w:p>
    <w:p w:rsidR="002B765D" w:rsidRPr="002B765D" w:rsidRDefault="002B765D" w:rsidP="002B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организацией и проведением соревнований (судейство, обслуживающий персонал) за счет МБУ «Никольский ФОК». Расходы, связанные с награждением команд, за счет Районного совета ветеранов. Проезд и питание участников за счет командирующих организаций.</w:t>
      </w:r>
    </w:p>
    <w:p w:rsidR="002B765D" w:rsidRPr="002B765D" w:rsidRDefault="00A155CE" w:rsidP="00A155CE">
      <w:pPr>
        <w:tabs>
          <w:tab w:val="left" w:pos="4365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2B765D"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</w:p>
    <w:p w:rsidR="002B765D" w:rsidRPr="002B765D" w:rsidRDefault="002B765D" w:rsidP="002B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(приложение 1) на участие в соревнованиях  подаются в Отдел по физической культуре, спорту и РМП  до 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ноября  2019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тел. 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8-817-54-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2-23-21, эл. почта 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nikolsk-sport@yandex.ru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65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foknik35@mail.ru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2-15-14. Команды,  не подтвердившие свое участие к указанному сроку,  к участию в турнире не допускаются.</w:t>
      </w:r>
    </w:p>
    <w:p w:rsidR="002B765D" w:rsidRPr="002B765D" w:rsidRDefault="002B765D" w:rsidP="002B7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Именная заявка (приложение №2), </w:t>
      </w:r>
      <w:r w:rsidRPr="002B76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заверенная врачом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подается в судейскую коллегию в день соревнования.  В заявке указать полностью Ф.И.О, год  рождения и виды спорта на каждого участника. В обязательном порядке участникам и представителям иметь сменную обувь.</w:t>
      </w: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B765D" w:rsidRPr="002B765D" w:rsidRDefault="002B765D" w:rsidP="002B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</w:t>
      </w:r>
      <w:r w:rsidRPr="002B7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65D" w:rsidRPr="002B765D" w:rsidRDefault="002B765D" w:rsidP="002B765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2B765D" w:rsidRPr="002B765D">
          <w:pgSz w:w="11906" w:h="16838"/>
          <w:pgMar w:top="567" w:right="850" w:bottom="284" w:left="1701" w:header="708" w:footer="708" w:gutter="0"/>
          <w:cols w:space="720"/>
        </w:sectPr>
      </w:pPr>
    </w:p>
    <w:p w:rsidR="002B765D" w:rsidRPr="002B765D" w:rsidRDefault="002B765D" w:rsidP="002B765D">
      <w:pPr>
        <w:rPr>
          <w:rFonts w:ascii="Times New Roman" w:eastAsia="Calibri" w:hAnsi="Times New Roman" w:cs="Times New Roman"/>
          <w:sz w:val="28"/>
          <w:szCs w:val="28"/>
        </w:rPr>
      </w:pPr>
      <w:r w:rsidRPr="002B76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B765D" w:rsidRPr="002B765D" w:rsidRDefault="002B765D" w:rsidP="002B765D">
      <w:pPr>
        <w:jc w:val="center"/>
        <w:rPr>
          <w:rFonts w:ascii="Times New Roman" w:eastAsia="Calibri" w:hAnsi="Times New Roman" w:cs="Times New Roman"/>
          <w:b/>
        </w:rPr>
      </w:pPr>
      <w:r w:rsidRPr="002B765D">
        <w:rPr>
          <w:rFonts w:ascii="Times New Roman" w:eastAsia="Calibri" w:hAnsi="Times New Roman" w:cs="Times New Roman"/>
          <w:b/>
        </w:rPr>
        <w:t>ПРЕДВАРИТЕЛЬНАЯ ИМЕННАЯ ЗАЯВКА</w:t>
      </w:r>
    </w:p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proofErr w:type="spellStart"/>
      <w:r w:rsidRPr="002B765D">
        <w:rPr>
          <w:rFonts w:ascii="Times New Roman" w:eastAsia="Calibri" w:hAnsi="Times New Roman" w:cs="Times New Roman"/>
          <w:sz w:val="24"/>
          <w:szCs w:val="24"/>
        </w:rPr>
        <w:t>команды______________________________________района</w:t>
      </w:r>
      <w:proofErr w:type="spellEnd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на участия в </w:t>
      </w:r>
      <w:r w:rsidRPr="002B765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межрайонном предновогоднем турнире среди команд ветеранов-пенсионеров  в </w:t>
      </w:r>
      <w:proofErr w:type="spellStart"/>
      <w:r w:rsidRPr="002B76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B765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2B765D">
        <w:rPr>
          <w:rFonts w:ascii="Times New Roman" w:eastAsia="Calibri" w:hAnsi="Times New Roman" w:cs="Times New Roman"/>
          <w:sz w:val="24"/>
          <w:szCs w:val="24"/>
        </w:rPr>
        <w:t>икольске</w:t>
      </w:r>
      <w:proofErr w:type="spellEnd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  1  декабря 2019 года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575"/>
        <w:gridCol w:w="1410"/>
        <w:gridCol w:w="1410"/>
        <w:gridCol w:w="1410"/>
        <w:gridCol w:w="1410"/>
        <w:gridCol w:w="1410"/>
        <w:gridCol w:w="1410"/>
      </w:tblGrid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61F25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3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ПРИМЕЧАНИЕ</w:t>
      </w:r>
      <w:proofErr w:type="gramStart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 знаком    +     проставьте в каком виде спорта ваш участник будет участвовать.  </w:t>
      </w:r>
    </w:p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 «___» ноября 2018 г                                             </w:t>
      </w:r>
    </w:p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РУКОВОДИТЕЛЬ КОМАНДЫ -_________________________/ _______________________________ /</w:t>
      </w:r>
    </w:p>
    <w:p w:rsidR="002B765D" w:rsidRPr="002B765D" w:rsidRDefault="002B765D" w:rsidP="002B765D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2B765D" w:rsidRPr="002B765D">
          <w:pgSz w:w="16838" w:h="11906" w:orient="landscape"/>
          <w:pgMar w:top="851" w:right="1134" w:bottom="709" w:left="1134" w:header="709" w:footer="709" w:gutter="0"/>
          <w:cols w:space="720"/>
        </w:sectPr>
      </w:pPr>
    </w:p>
    <w:p w:rsidR="002B765D" w:rsidRPr="002B765D" w:rsidRDefault="002B765D" w:rsidP="002B765D">
      <w:pPr>
        <w:spacing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№2</w:t>
      </w:r>
    </w:p>
    <w:p w:rsidR="002B765D" w:rsidRPr="002B765D" w:rsidRDefault="002B765D" w:rsidP="002B765D">
      <w:pPr>
        <w:spacing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ИМЕННАЯ ЗАЯВКА</w:t>
      </w:r>
    </w:p>
    <w:p w:rsidR="002B765D" w:rsidRPr="002B765D" w:rsidRDefault="002B765D" w:rsidP="002B765D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От команды_________________________________________________________________                                            на  участие в межрайонном турнире восточных районов Вологодской области среди команд ветеранов-пенсионеров  в   </w:t>
      </w:r>
      <w:proofErr w:type="spellStart"/>
      <w:r w:rsidRPr="002B765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B765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2B765D">
        <w:rPr>
          <w:rFonts w:ascii="Times New Roman" w:eastAsia="Calibri" w:hAnsi="Times New Roman" w:cs="Times New Roman"/>
          <w:sz w:val="24"/>
          <w:szCs w:val="24"/>
        </w:rPr>
        <w:t>икольске</w:t>
      </w:r>
      <w:proofErr w:type="spellEnd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01 декабря 2019 года                                                                                                                                     </w:t>
      </w:r>
    </w:p>
    <w:p w:rsidR="002B765D" w:rsidRPr="002B765D" w:rsidRDefault="002B765D" w:rsidP="002B765D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Представитель команды-________________________________________________________</w:t>
      </w:r>
    </w:p>
    <w:p w:rsidR="002B765D" w:rsidRPr="002B765D" w:rsidRDefault="002B765D" w:rsidP="002B765D">
      <w:pPr>
        <w:spacing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010"/>
        <w:gridCol w:w="750"/>
        <w:gridCol w:w="723"/>
        <w:gridCol w:w="866"/>
        <w:gridCol w:w="1058"/>
        <w:gridCol w:w="1098"/>
        <w:gridCol w:w="1057"/>
        <w:gridCol w:w="1385"/>
      </w:tblGrid>
      <w:tr w:rsidR="002B765D" w:rsidRPr="002B765D" w:rsidTr="002B765D">
        <w:trPr>
          <w:trHeight w:val="225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рожд</w:t>
            </w:r>
            <w:proofErr w:type="spellEnd"/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Виды спорта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Виза врача и роспись о допуске участника</w:t>
            </w:r>
          </w:p>
        </w:tc>
      </w:tr>
      <w:tr w:rsidR="002B765D" w:rsidRPr="002B765D" w:rsidTr="002B765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D" w:rsidRPr="002B765D" w:rsidRDefault="002B765D" w:rsidP="002B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D" w:rsidRPr="002B765D" w:rsidRDefault="002B765D" w:rsidP="002B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D" w:rsidRPr="002B765D" w:rsidRDefault="002B765D" w:rsidP="002B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61F25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  <w:bookmarkStart w:id="0" w:name="_GoBack"/>
            <w:bookmarkEnd w:id="0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spacing w:line="260" w:lineRule="exact"/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5D" w:rsidRPr="002B765D" w:rsidRDefault="002B765D" w:rsidP="002B76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1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65D" w:rsidRPr="002B765D" w:rsidTr="002B765D">
        <w:trPr>
          <w:trHeight w:val="45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5D" w:rsidRPr="002B765D" w:rsidRDefault="002B765D" w:rsidP="002B765D">
            <w:pPr>
              <w:ind w:left="-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65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ind w:left="24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5D" w:rsidRPr="002B765D" w:rsidRDefault="002B765D" w:rsidP="002B7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Команда в количестве _____________/_________________________/ допущена к соревнованиям</w:t>
      </w: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Дата, роспись, печать врача______________________________________</w:t>
      </w: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proofErr w:type="gramStart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765D" w:rsidRPr="002B765D" w:rsidRDefault="002B765D" w:rsidP="002B7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>направляющей организации________________________________________________</w:t>
      </w:r>
    </w:p>
    <w:p w:rsidR="002B765D" w:rsidRPr="002B765D" w:rsidRDefault="002B765D" w:rsidP="002B765D">
      <w:pPr>
        <w:rPr>
          <w:rFonts w:ascii="Times New Roman" w:eastAsia="Calibri" w:hAnsi="Times New Roman" w:cs="Times New Roman"/>
          <w:sz w:val="24"/>
          <w:szCs w:val="24"/>
        </w:rPr>
      </w:pPr>
      <w:r w:rsidRPr="002B76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B5A44" w:rsidRDefault="006B5A44"/>
    <w:sectPr w:rsidR="006B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5DB1"/>
    <w:multiLevelType w:val="hybridMultilevel"/>
    <w:tmpl w:val="3F52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C0"/>
    <w:rsid w:val="00261F25"/>
    <w:rsid w:val="002B765D"/>
    <w:rsid w:val="006B5A44"/>
    <w:rsid w:val="00965807"/>
    <w:rsid w:val="00A155CE"/>
    <w:rsid w:val="00B831C0"/>
    <w:rsid w:val="00DD3FF7"/>
    <w:rsid w:val="00E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2019-10-24T07:37:00Z</dcterms:created>
  <dcterms:modified xsi:type="dcterms:W3CDTF">2019-10-25T05:15:00Z</dcterms:modified>
</cp:coreProperties>
</file>