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90D" w:rsidRDefault="0070444D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Утверждено </w:t>
      </w:r>
      <w:r w:rsidR="00556827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="00556827">
        <w:rPr>
          <w:sz w:val="26"/>
          <w:szCs w:val="26"/>
        </w:rPr>
        <w:t xml:space="preserve"> администрации</w:t>
      </w:r>
    </w:p>
    <w:p w:rsidR="0031790D" w:rsidRDefault="00556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Никольского муниципального района</w:t>
      </w:r>
    </w:p>
    <w:p w:rsidR="0031790D" w:rsidRDefault="00556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от   20.11.2019 года № 1162            </w:t>
      </w:r>
    </w:p>
    <w:p w:rsidR="0031790D" w:rsidRDefault="0031790D">
      <w:pPr>
        <w:jc w:val="center"/>
        <w:rPr>
          <w:b/>
          <w:sz w:val="26"/>
          <w:szCs w:val="26"/>
        </w:rPr>
      </w:pPr>
    </w:p>
    <w:p w:rsidR="0031790D" w:rsidRDefault="00556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31790D" w:rsidRDefault="00556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 программы</w:t>
      </w:r>
    </w:p>
    <w:p w:rsidR="0031790D" w:rsidRDefault="00556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«Кадровая политика в сфере здравоохранения </w:t>
      </w:r>
    </w:p>
    <w:p w:rsidR="0031790D" w:rsidRDefault="00556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Никольского муниципального района на 2020-2025  годы»</w:t>
      </w:r>
    </w:p>
    <w:p w:rsidR="0031790D" w:rsidRDefault="0031790D">
      <w:pPr>
        <w:jc w:val="center"/>
      </w:pPr>
    </w:p>
    <w:tbl>
      <w:tblPr>
        <w:tblW w:w="1011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79"/>
        <w:gridCol w:w="6631"/>
      </w:tblGrid>
      <w:tr w:rsidR="0031790D">
        <w:trPr>
          <w:trHeight w:val="75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Ответственный исполнитель  программы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Администрация Никольского муниципального района</w:t>
            </w:r>
          </w:p>
        </w:tc>
      </w:tr>
      <w:tr w:rsidR="0031790D">
        <w:trPr>
          <w:trHeight w:val="45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Соисполнитель Программы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jc w:val="both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БУЗ ВО «Никольская ЦРБ»</w:t>
            </w:r>
          </w:p>
        </w:tc>
      </w:tr>
      <w:tr w:rsidR="0031790D">
        <w:trPr>
          <w:trHeight w:val="45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Участники Программы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jc w:val="both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Администрация Никольского муниципального района, БУЗ ВО «Никольская ЦРБ»</w:t>
            </w:r>
          </w:p>
          <w:p w:rsidR="0031790D" w:rsidRDefault="0031790D">
            <w:pPr>
              <w:snapToGrid w:val="0"/>
              <w:jc w:val="both"/>
              <w:rPr>
                <w:spacing w:val="2"/>
                <w:sz w:val="26"/>
                <w:szCs w:val="26"/>
                <w:highlight w:val="white"/>
              </w:rPr>
            </w:pPr>
          </w:p>
        </w:tc>
      </w:tr>
      <w:tr w:rsidR="0031790D">
        <w:trPr>
          <w:trHeight w:val="3922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Цели и задачи Программы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r>
              <w:rPr>
                <w:spacing w:val="2"/>
                <w:sz w:val="24"/>
                <w:szCs w:val="24"/>
                <w:highlight w:val="white"/>
              </w:rPr>
              <w:t>Ц</w:t>
            </w:r>
            <w:r>
              <w:rPr>
                <w:spacing w:val="2"/>
                <w:sz w:val="26"/>
                <w:szCs w:val="26"/>
                <w:highlight w:val="white"/>
              </w:rPr>
              <w:t>елью муниципальной программы является  сохранение имеющегося кадрового потенциала БУЗ ВО «Никол</w:t>
            </w:r>
            <w:r>
              <w:rPr>
                <w:spacing w:val="2"/>
                <w:sz w:val="26"/>
                <w:szCs w:val="26"/>
                <w:highlight w:val="white"/>
              </w:rPr>
              <w:t>ь</w:t>
            </w:r>
            <w:r>
              <w:rPr>
                <w:spacing w:val="2"/>
                <w:sz w:val="26"/>
                <w:szCs w:val="26"/>
                <w:highlight w:val="white"/>
              </w:rPr>
              <w:t>ская ЦРБ» медицинскими кадрами, привлечение и з</w:t>
            </w:r>
            <w:r>
              <w:rPr>
                <w:spacing w:val="2"/>
                <w:sz w:val="26"/>
                <w:szCs w:val="26"/>
                <w:highlight w:val="white"/>
              </w:rPr>
              <w:t>а</w:t>
            </w:r>
            <w:r>
              <w:rPr>
                <w:spacing w:val="2"/>
                <w:sz w:val="26"/>
                <w:szCs w:val="26"/>
                <w:highlight w:val="white"/>
              </w:rPr>
              <w:t>крепление в Никольском муниципальном районе спец</w:t>
            </w:r>
            <w:r>
              <w:rPr>
                <w:spacing w:val="2"/>
                <w:sz w:val="26"/>
                <w:szCs w:val="26"/>
                <w:highlight w:val="white"/>
              </w:rPr>
              <w:t>и</w:t>
            </w:r>
            <w:r>
              <w:rPr>
                <w:spacing w:val="2"/>
                <w:sz w:val="26"/>
                <w:szCs w:val="26"/>
                <w:highlight w:val="white"/>
              </w:rPr>
              <w:t>алистов с высшим и средним медицинским образован</w:t>
            </w:r>
            <w:r>
              <w:rPr>
                <w:spacing w:val="2"/>
                <w:sz w:val="26"/>
                <w:szCs w:val="26"/>
                <w:highlight w:val="white"/>
              </w:rPr>
              <w:t>и</w:t>
            </w:r>
            <w:r>
              <w:rPr>
                <w:spacing w:val="2"/>
                <w:sz w:val="26"/>
                <w:szCs w:val="26"/>
                <w:highlight w:val="white"/>
              </w:rPr>
              <w:t>ем, повышение доступности и качества медицинской помощи, независимо от места жительства.</w:t>
            </w:r>
          </w:p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Основные задачи Программы:</w:t>
            </w:r>
          </w:p>
          <w:p w:rsidR="0031790D" w:rsidRDefault="00556827">
            <w:r>
              <w:rPr>
                <w:spacing w:val="2"/>
                <w:sz w:val="26"/>
                <w:szCs w:val="26"/>
                <w:highlight w:val="white"/>
              </w:rPr>
              <w:t>- Обеспечение здравоохранения медицинскими кадрами в соответствии с потребностью населения в качестве</w:t>
            </w:r>
            <w:r>
              <w:rPr>
                <w:spacing w:val="2"/>
                <w:sz w:val="26"/>
                <w:szCs w:val="26"/>
                <w:highlight w:val="white"/>
              </w:rPr>
              <w:t>н</w:t>
            </w:r>
            <w:r>
              <w:rPr>
                <w:spacing w:val="2"/>
                <w:sz w:val="26"/>
                <w:szCs w:val="26"/>
                <w:highlight w:val="white"/>
              </w:rPr>
              <w:t>ной медицинской помощи (4.2.4.19 *);</w:t>
            </w:r>
          </w:p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- Создание условий для закрепления специалистов в сельской местности (5.3.4.8 *);</w:t>
            </w:r>
          </w:p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- Использование возможностей межрегиональной тр</w:t>
            </w:r>
            <w:r>
              <w:rPr>
                <w:spacing w:val="2"/>
                <w:sz w:val="26"/>
                <w:szCs w:val="26"/>
                <w:highlight w:val="white"/>
              </w:rPr>
              <w:t>у</w:t>
            </w:r>
            <w:r>
              <w:rPr>
                <w:spacing w:val="2"/>
                <w:sz w:val="26"/>
                <w:szCs w:val="26"/>
                <w:highlight w:val="white"/>
              </w:rPr>
              <w:t>довой миграции. Разработка и реализация комплекса мероприятий по содействию внешней трудовой мигр</w:t>
            </w:r>
            <w:r>
              <w:rPr>
                <w:spacing w:val="2"/>
                <w:sz w:val="26"/>
                <w:szCs w:val="26"/>
                <w:highlight w:val="white"/>
              </w:rPr>
              <w:t>а</w:t>
            </w:r>
            <w:r>
              <w:rPr>
                <w:spacing w:val="2"/>
                <w:sz w:val="26"/>
                <w:szCs w:val="26"/>
                <w:highlight w:val="white"/>
              </w:rPr>
              <w:t>ции (5.3.4.9 *).</w:t>
            </w:r>
          </w:p>
          <w:p w:rsidR="0031790D" w:rsidRDefault="0031790D">
            <w:pPr>
              <w:rPr>
                <w:spacing w:val="2"/>
                <w:sz w:val="26"/>
                <w:szCs w:val="26"/>
                <w:highlight w:val="white"/>
              </w:rPr>
            </w:pPr>
          </w:p>
        </w:tc>
      </w:tr>
      <w:tr w:rsidR="0031790D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Подпрограммы Программы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отсутствуют</w:t>
            </w:r>
          </w:p>
          <w:p w:rsidR="0031790D" w:rsidRDefault="0031790D">
            <w:pPr>
              <w:rPr>
                <w:spacing w:val="2"/>
                <w:sz w:val="26"/>
                <w:szCs w:val="26"/>
                <w:highlight w:val="white"/>
              </w:rPr>
            </w:pPr>
          </w:p>
        </w:tc>
      </w:tr>
      <w:tr w:rsidR="0031790D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Программно-целевые и</w:t>
            </w:r>
            <w:r>
              <w:rPr>
                <w:spacing w:val="2"/>
                <w:sz w:val="26"/>
                <w:szCs w:val="26"/>
                <w:highlight w:val="white"/>
              </w:rPr>
              <w:t>н</w:t>
            </w:r>
            <w:r>
              <w:rPr>
                <w:spacing w:val="2"/>
                <w:sz w:val="26"/>
                <w:szCs w:val="26"/>
                <w:highlight w:val="white"/>
              </w:rPr>
              <w:t>струменты Программы</w:t>
            </w:r>
          </w:p>
          <w:p w:rsidR="0031790D" w:rsidRDefault="0031790D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отсутствуют</w:t>
            </w:r>
          </w:p>
        </w:tc>
      </w:tr>
      <w:tr w:rsidR="0031790D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</w:pPr>
            <w:r>
              <w:rPr>
                <w:rStyle w:val="apple-converted-space"/>
                <w:spacing w:val="2"/>
                <w:sz w:val="26"/>
                <w:szCs w:val="26"/>
                <w:highlight w:val="white"/>
              </w:rPr>
              <w:t>Целевые показатели Пр</w:t>
            </w:r>
            <w:r>
              <w:rPr>
                <w:rStyle w:val="apple-converted-space"/>
                <w:spacing w:val="2"/>
                <w:sz w:val="26"/>
                <w:szCs w:val="26"/>
                <w:highlight w:val="white"/>
              </w:rPr>
              <w:t>о</w:t>
            </w:r>
            <w:r>
              <w:rPr>
                <w:rStyle w:val="apple-converted-space"/>
                <w:spacing w:val="2"/>
                <w:sz w:val="26"/>
                <w:szCs w:val="26"/>
                <w:highlight w:val="white"/>
              </w:rPr>
              <w:t>граммы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r>
              <w:rPr>
                <w:spacing w:val="2"/>
                <w:sz w:val="26"/>
                <w:szCs w:val="26"/>
                <w:highlight w:val="white"/>
              </w:rPr>
              <w:t xml:space="preserve">- </w:t>
            </w:r>
            <w:r>
              <w:rPr>
                <w:spacing w:val="2"/>
                <w:sz w:val="24"/>
                <w:szCs w:val="24"/>
                <w:highlight w:val="white"/>
              </w:rPr>
              <w:t>Смертность от болезней системы кровообращения, случаев на 100 тыс. населения (4.2.5.1*);</w:t>
            </w:r>
          </w:p>
          <w:p w:rsidR="0031790D" w:rsidRDefault="00556827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highlight w:val="white"/>
              </w:rPr>
              <w:t>- Смертность от новообразований, случаев на 100 тыс. нас</w:t>
            </w:r>
            <w:r>
              <w:rPr>
                <w:spacing w:val="2"/>
                <w:sz w:val="24"/>
                <w:szCs w:val="24"/>
                <w:highlight w:val="white"/>
              </w:rPr>
              <w:t>е</w:t>
            </w:r>
            <w:r>
              <w:rPr>
                <w:spacing w:val="2"/>
                <w:sz w:val="24"/>
                <w:szCs w:val="24"/>
                <w:highlight w:val="white"/>
              </w:rPr>
              <w:t>ления (4.2.5.2*);</w:t>
            </w:r>
          </w:p>
          <w:p w:rsidR="0031790D" w:rsidRDefault="00556827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highlight w:val="white"/>
              </w:rPr>
              <w:t>- Смертность от туберкулеза, случаев на 100 тыс. населения (4.2.5.3*);</w:t>
            </w:r>
          </w:p>
          <w:p w:rsidR="0031790D" w:rsidRDefault="00556827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highlight w:val="white"/>
              </w:rPr>
              <w:t>- Охват диспансеризацией определенных групп взрослого населения, % (4.2.5.4*);</w:t>
            </w:r>
          </w:p>
          <w:p w:rsidR="0031790D" w:rsidRDefault="00556827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highlight w:val="white"/>
              </w:rPr>
              <w:t>- Уровень укомплектованности врачами медицинских учр</w:t>
            </w:r>
            <w:r>
              <w:rPr>
                <w:spacing w:val="2"/>
                <w:sz w:val="24"/>
                <w:szCs w:val="24"/>
                <w:highlight w:val="white"/>
              </w:rPr>
              <w:t>е</w:t>
            </w:r>
            <w:r>
              <w:rPr>
                <w:spacing w:val="2"/>
                <w:sz w:val="24"/>
                <w:szCs w:val="24"/>
                <w:highlight w:val="white"/>
              </w:rPr>
              <w:t>ждений, % (4.2.5.5*).</w:t>
            </w:r>
          </w:p>
          <w:p w:rsidR="0031790D" w:rsidRDefault="0031790D"/>
        </w:tc>
      </w:tr>
      <w:tr w:rsidR="0031790D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 Программы 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</w:t>
            </w:r>
          </w:p>
        </w:tc>
      </w:tr>
      <w:tr w:rsidR="0031790D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r>
              <w:rPr>
                <w:sz w:val="26"/>
                <w:szCs w:val="26"/>
              </w:rPr>
              <w:t>Объем финансового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чения П</w:t>
            </w:r>
            <w:r>
              <w:rPr>
                <w:spacing w:val="2"/>
                <w:sz w:val="26"/>
                <w:szCs w:val="26"/>
                <w:highlight w:val="white"/>
              </w:rPr>
              <w:t xml:space="preserve">рограммы </w:t>
            </w:r>
          </w:p>
          <w:p w:rsidR="0031790D" w:rsidRDefault="0031790D"/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56827" w:rsidRPr="00556827" w:rsidRDefault="00556827" w:rsidP="00556827">
            <w:pPr>
              <w:snapToGrid w:val="0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highlight w:val="white"/>
              </w:rPr>
              <w:lastRenderedPageBreak/>
              <w:t xml:space="preserve"> </w:t>
            </w: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Общий объем финансового обеспечения для реализации м</w:t>
            </w: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ниципальной программы 4440,7 тыс. руб., в том числе по г</w:t>
            </w: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дам реализации:</w:t>
            </w:r>
          </w:p>
          <w:p w:rsidR="00556827" w:rsidRPr="00556827" w:rsidRDefault="00556827" w:rsidP="00556827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2020 год —  457,2 тыс. рублей;</w:t>
            </w:r>
          </w:p>
          <w:p w:rsidR="00556827" w:rsidRPr="00556827" w:rsidRDefault="00556827" w:rsidP="00556827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2021 год —  187,8 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2022 год —  657,7 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2023 год —  1046,0 тыс. рублей;</w:t>
            </w:r>
          </w:p>
          <w:p w:rsidR="00556827" w:rsidRPr="00556827" w:rsidRDefault="00556827" w:rsidP="00556827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2024 год —  1046,0 тыс. рублей;</w:t>
            </w:r>
          </w:p>
          <w:p w:rsidR="00556827" w:rsidRPr="00556827" w:rsidRDefault="00556827" w:rsidP="00556827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2025 год —   1046,0 тыс. рублей.</w:t>
            </w:r>
          </w:p>
          <w:p w:rsidR="00556827" w:rsidRPr="00556827" w:rsidRDefault="00556827" w:rsidP="00556827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из них за счет средств районного бюджета   3669,7 тыс. руб. в том числе по годам реализации:</w:t>
            </w:r>
          </w:p>
          <w:p w:rsidR="00556827" w:rsidRPr="00556827" w:rsidRDefault="00556827" w:rsidP="00556827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2020 год — 133,2 тыс. рублей;</w:t>
            </w:r>
          </w:p>
          <w:p w:rsidR="00556827" w:rsidRPr="00556827" w:rsidRDefault="00556827" w:rsidP="00556827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2021 год —  172,8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2022 год —  549,7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2023 год —  938,0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2024 год —  938,0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2025 год —  938,0 тыс. рублей.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из них за счет средств организации БУЗ ВО «Никольская ЦРБ» 771,0 тыс. рублей, в том числе по годам реализации: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2020 год — 324,0тыс.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2021 год — 15,0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2022 год — 108,0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2023 год — 108,0 тыс. рублей;</w:t>
            </w:r>
          </w:p>
          <w:p w:rsidR="00556827" w:rsidRPr="00556827" w:rsidRDefault="00556827" w:rsidP="00556827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556827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2024 год — 108,0 тыс. рублей;</w:t>
            </w:r>
          </w:p>
          <w:p w:rsidR="0031790D" w:rsidRDefault="00556827" w:rsidP="00556827">
            <w:pPr>
              <w:snapToGrid w:val="0"/>
              <w:spacing w:after="198"/>
              <w:contextualSpacing/>
              <w:rPr>
                <w:color w:val="000000"/>
                <w:spacing w:val="2"/>
                <w:sz w:val="22"/>
                <w:szCs w:val="22"/>
                <w:highlight w:val="white"/>
              </w:rPr>
            </w:pPr>
            <w:r w:rsidRPr="00556827">
              <w:rPr>
                <w:rFonts w:eastAsia="Calibri" w:cstheme="minorBidi"/>
                <w:color w:val="000000"/>
                <w:spacing w:val="2"/>
                <w:sz w:val="24"/>
                <w:szCs w:val="24"/>
                <w:highlight w:val="white"/>
                <w:lang w:eastAsia="en-US"/>
              </w:rPr>
              <w:t>2025 год — 108,0 тыс. рублей.</w:t>
            </w:r>
          </w:p>
        </w:tc>
      </w:tr>
      <w:tr w:rsidR="0031790D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snapToGrid w:val="0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lastRenderedPageBreak/>
              <w:t>Ожидаемые результаты ре</w:t>
            </w:r>
            <w:r>
              <w:rPr>
                <w:spacing w:val="2"/>
                <w:sz w:val="26"/>
                <w:szCs w:val="26"/>
                <w:highlight w:val="white"/>
              </w:rPr>
              <w:t>а</w:t>
            </w:r>
            <w:r>
              <w:rPr>
                <w:spacing w:val="2"/>
                <w:sz w:val="26"/>
                <w:szCs w:val="26"/>
                <w:highlight w:val="white"/>
              </w:rPr>
              <w:t>лизации Программы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Реализация программы позволит достичь следующих результатов:</w:t>
            </w:r>
          </w:p>
          <w:p w:rsidR="0031790D" w:rsidRDefault="00556827">
            <w:r>
              <w:rPr>
                <w:spacing w:val="2"/>
                <w:sz w:val="26"/>
                <w:szCs w:val="26"/>
                <w:highlight w:val="white"/>
              </w:rPr>
              <w:t xml:space="preserve">- </w:t>
            </w:r>
            <w:r>
              <w:rPr>
                <w:spacing w:val="2"/>
                <w:sz w:val="24"/>
                <w:szCs w:val="24"/>
                <w:highlight w:val="white"/>
              </w:rPr>
              <w:t>Снижение уровня смертности от болезней системы кров</w:t>
            </w:r>
            <w:r>
              <w:rPr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spacing w:val="2"/>
                <w:sz w:val="24"/>
                <w:szCs w:val="24"/>
                <w:highlight w:val="white"/>
              </w:rPr>
              <w:t>обращения с 846,0 случаев на 100 тыс. населения в 2018 году до 811,9 случаев к 2025 году;</w:t>
            </w:r>
          </w:p>
          <w:p w:rsidR="0031790D" w:rsidRDefault="00556827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highlight w:val="white"/>
              </w:rPr>
              <w:t>- Снижение уровня смертности от новообразований с 221,7 случаев на 100 тыс. населения в 2018 году до  199,5 случаев в 2025 году;</w:t>
            </w:r>
          </w:p>
          <w:p w:rsidR="0031790D" w:rsidRDefault="00556827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highlight w:val="white"/>
              </w:rPr>
              <w:t>- Снижение уровня смертности от туберкулеза с 3,3 случаев на 100 тыс. населения в 2018 году до 3,2 случая к 2025 году;</w:t>
            </w:r>
          </w:p>
          <w:p w:rsidR="0031790D" w:rsidRDefault="00556827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highlight w:val="white"/>
              </w:rPr>
              <w:t>- Увеличение объема охвата диспансеризацией определе</w:t>
            </w:r>
            <w:r>
              <w:rPr>
                <w:spacing w:val="2"/>
                <w:sz w:val="24"/>
                <w:szCs w:val="24"/>
                <w:highlight w:val="white"/>
              </w:rPr>
              <w:t>н</w:t>
            </w:r>
            <w:r>
              <w:rPr>
                <w:spacing w:val="2"/>
                <w:sz w:val="24"/>
                <w:szCs w:val="24"/>
                <w:highlight w:val="white"/>
              </w:rPr>
              <w:t>ных групп взрослого населения с 86,0 % в 2018 году до  95,1 % к 2025 году;</w:t>
            </w:r>
          </w:p>
          <w:p w:rsidR="0031790D" w:rsidRDefault="00556827">
            <w:r>
              <w:rPr>
                <w:spacing w:val="2"/>
                <w:sz w:val="24"/>
                <w:szCs w:val="24"/>
                <w:highlight w:val="white"/>
              </w:rPr>
              <w:t>- Увеличение уровня укомплектованности врачами медици</w:t>
            </w:r>
            <w:r>
              <w:rPr>
                <w:spacing w:val="2"/>
                <w:sz w:val="24"/>
                <w:szCs w:val="24"/>
                <w:highlight w:val="white"/>
              </w:rPr>
              <w:t>н</w:t>
            </w:r>
            <w:r>
              <w:rPr>
                <w:spacing w:val="2"/>
                <w:sz w:val="24"/>
                <w:szCs w:val="24"/>
                <w:highlight w:val="white"/>
              </w:rPr>
              <w:t>ских учреждений  с 35,6 % в 2018 году до  40,7 % к 2025 г</w:t>
            </w:r>
            <w:r>
              <w:rPr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spacing w:val="2"/>
                <w:sz w:val="24"/>
                <w:szCs w:val="24"/>
                <w:highlight w:val="white"/>
              </w:rPr>
              <w:t>ду</w:t>
            </w:r>
            <w:r>
              <w:rPr>
                <w:spacing w:val="2"/>
                <w:sz w:val="26"/>
                <w:szCs w:val="26"/>
                <w:highlight w:val="white"/>
              </w:rPr>
              <w:t>.</w:t>
            </w:r>
          </w:p>
        </w:tc>
      </w:tr>
    </w:tbl>
    <w:p w:rsidR="0031790D" w:rsidRDefault="00556827">
      <w:r>
        <w:t>* в соответствии с планом мероприятий по реализации Стратегии социально-экономического развития Никольск</w:t>
      </w:r>
      <w:r>
        <w:t>о</w:t>
      </w:r>
      <w:r>
        <w:t>го муниципального района Вологодской области на период до 2030 года, утвержденного постановлением админ</w:t>
      </w:r>
      <w:r>
        <w:t>и</w:t>
      </w:r>
      <w:r>
        <w:t>страции Никольского муниципального района от 21.03.2019 года № 237.</w:t>
      </w:r>
    </w:p>
    <w:p w:rsidR="0031790D" w:rsidRDefault="0031790D"/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Общая характеристика сферы реализации муниципальной программы </w:t>
      </w:r>
    </w:p>
    <w:p w:rsidR="0031790D" w:rsidRDefault="0031790D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</w:pPr>
      <w:r>
        <w:rPr>
          <w:color w:val="000000"/>
          <w:sz w:val="26"/>
          <w:szCs w:val="26"/>
        </w:rPr>
        <w:t xml:space="preserve">  Муниципальная программа реализуется в сфере здравоохранения Никольского муниципального района.</w:t>
      </w:r>
      <w:r>
        <w:rPr>
          <w:b/>
          <w:bCs/>
          <w:color w:val="000000"/>
          <w:spacing w:val="2"/>
          <w:sz w:val="26"/>
          <w:szCs w:val="26"/>
          <w:highlight w:val="white"/>
        </w:rPr>
        <w:t xml:space="preserve"> </w:t>
      </w:r>
      <w:r>
        <w:rPr>
          <w:color w:val="000000"/>
          <w:spacing w:val="2"/>
          <w:sz w:val="26"/>
          <w:szCs w:val="26"/>
          <w:highlight w:val="white"/>
        </w:rPr>
        <w:t>Сеть учреждений здравоохранения Никольского района представлена Центральной районной больницей, двумя участковыми больницами, а также 26 фельдшерско-акушерскими пунктами, 3 из которых опорные.</w:t>
      </w:r>
    </w:p>
    <w:p w:rsidR="0031790D" w:rsidRDefault="0031790D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</w:pP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  <w:rPr>
          <w:color w:val="000000"/>
          <w:spacing w:val="2"/>
          <w:sz w:val="26"/>
          <w:szCs w:val="26"/>
          <w:highlight w:val="white"/>
        </w:rPr>
      </w:pPr>
      <w:r>
        <w:rPr>
          <w:color w:val="000000"/>
          <w:spacing w:val="2"/>
          <w:sz w:val="26"/>
          <w:szCs w:val="26"/>
          <w:highlight w:val="white"/>
        </w:rPr>
        <w:lastRenderedPageBreak/>
        <w:t xml:space="preserve"> На 01.09.2019 года в БУЗ ВО «Никольская ЦРБ» укомплектованность кадрами составляет:</w:t>
      </w:r>
    </w:p>
    <w:p w:rsidR="0031790D" w:rsidRDefault="0031790D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</w:pPr>
    </w:p>
    <w:tbl>
      <w:tblPr>
        <w:tblW w:w="99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9"/>
        <w:gridCol w:w="2481"/>
        <w:gridCol w:w="2480"/>
        <w:gridCol w:w="2510"/>
      </w:tblGrid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31790D">
            <w:pPr>
              <w:pStyle w:val="ac"/>
              <w:snapToGrid w:val="0"/>
              <w:jc w:val="both"/>
            </w:pPr>
          </w:p>
        </w:tc>
        <w:tc>
          <w:tcPr>
            <w:tcW w:w="4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Число должностей в целом по организации</w:t>
            </w:r>
          </w:p>
        </w:tc>
        <w:tc>
          <w:tcPr>
            <w:tcW w:w="2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Число физических лиц</w:t>
            </w:r>
          </w:p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31790D">
            <w:pPr>
              <w:pStyle w:val="ac"/>
              <w:snapToGrid w:val="0"/>
              <w:jc w:val="both"/>
            </w:pP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Штатных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Занятых</w:t>
            </w:r>
          </w:p>
        </w:tc>
        <w:tc>
          <w:tcPr>
            <w:tcW w:w="25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31790D"/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Врачи, всего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52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30,75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20</w:t>
            </w:r>
          </w:p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 xml:space="preserve">Врачи общей практики 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1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1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1</w:t>
            </w:r>
          </w:p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Терапевты участковые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5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4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4</w:t>
            </w:r>
          </w:p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Средний медперсонал-всего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226,5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205,25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181</w:t>
            </w:r>
          </w:p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Средний медперсонал ФАПов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36,5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32,5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29</w:t>
            </w:r>
          </w:p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Из них: фельдшеры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28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26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22</w:t>
            </w:r>
          </w:p>
        </w:tc>
      </w:tr>
      <w:tr w:rsidR="0031790D"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Акушерки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6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6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1790D" w:rsidRDefault="00556827">
            <w:pPr>
              <w:pStyle w:val="ac"/>
              <w:jc w:val="both"/>
            </w:pPr>
            <w:r>
              <w:t>5</w:t>
            </w:r>
          </w:p>
        </w:tc>
      </w:tr>
    </w:tbl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jc w:val="both"/>
        <w:rPr>
          <w:color w:val="000000"/>
          <w:spacing w:val="2"/>
          <w:sz w:val="26"/>
          <w:szCs w:val="26"/>
          <w:highlight w:val="white"/>
        </w:rPr>
      </w:pPr>
      <w:r>
        <w:rPr>
          <w:color w:val="000000"/>
          <w:spacing w:val="2"/>
          <w:sz w:val="26"/>
          <w:szCs w:val="26"/>
          <w:highlight w:val="white"/>
        </w:rPr>
        <w:tab/>
      </w: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jc w:val="both"/>
        <w:rPr>
          <w:color w:val="000000"/>
          <w:spacing w:val="2"/>
          <w:sz w:val="26"/>
          <w:szCs w:val="26"/>
          <w:highlight w:val="white"/>
        </w:rPr>
      </w:pPr>
      <w:r>
        <w:rPr>
          <w:color w:val="000000"/>
          <w:spacing w:val="2"/>
          <w:sz w:val="26"/>
          <w:szCs w:val="26"/>
          <w:highlight w:val="white"/>
        </w:rPr>
        <w:tab/>
        <w:t xml:space="preserve"> Продолжает сохраняться проблема необходимости увеличения обеспеченности БУЗ ВО «Никольская ЦРБ»  врачами с 20 человек в 2018 году (по факту) до 39 человек к 2025 году (прогнозочно) и численности врачей, участвующих в оказании медицинской помощи сельскому населению с 2-х человек   в 2018 году до 3 человек к 2025 году.  </w:t>
      </w: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jc w:val="both"/>
        <w:rPr>
          <w:color w:val="000000"/>
          <w:spacing w:val="2"/>
          <w:sz w:val="26"/>
          <w:szCs w:val="26"/>
          <w:highlight w:val="white"/>
        </w:rPr>
      </w:pPr>
      <w:r>
        <w:rPr>
          <w:color w:val="000000"/>
          <w:spacing w:val="2"/>
          <w:sz w:val="26"/>
          <w:szCs w:val="26"/>
          <w:highlight w:val="white"/>
        </w:rPr>
        <w:tab/>
        <w:t>Сеть учреждений здравоохранения Никольского района представлена Центральной районной больницей, двумя участковыми больницами, а также 26 фельдшерско-акушерскими пунктами, 3 из которых опорные.</w:t>
      </w:r>
    </w:p>
    <w:p w:rsidR="0031790D" w:rsidRDefault="0031790D">
      <w:pPr>
        <w:tabs>
          <w:tab w:val="left" w:pos="1080"/>
          <w:tab w:val="left" w:pos="2268"/>
          <w:tab w:val="left" w:pos="2410"/>
        </w:tabs>
        <w:suppressAutoHyphens/>
        <w:jc w:val="both"/>
      </w:pPr>
    </w:p>
    <w:p w:rsidR="0031790D" w:rsidRDefault="00556827">
      <w:pPr>
        <w:jc w:val="center"/>
        <w:rPr>
          <w:b/>
          <w:bCs/>
          <w:spacing w:val="2"/>
          <w:sz w:val="26"/>
          <w:szCs w:val="26"/>
          <w:highlight w:val="white"/>
        </w:rPr>
      </w:pPr>
      <w:r>
        <w:rPr>
          <w:b/>
          <w:bCs/>
          <w:spacing w:val="2"/>
          <w:sz w:val="26"/>
          <w:szCs w:val="26"/>
          <w:highlight w:val="white"/>
        </w:rPr>
        <w:t>Половозрастной состав врачебного звена в БУЗ ВО «Никольская ЦРБ» на</w:t>
      </w:r>
    </w:p>
    <w:p w:rsidR="0031790D" w:rsidRDefault="00556827">
      <w:pPr>
        <w:jc w:val="center"/>
        <w:rPr>
          <w:b/>
          <w:bCs/>
          <w:spacing w:val="2"/>
          <w:sz w:val="26"/>
          <w:szCs w:val="26"/>
          <w:highlight w:val="white"/>
        </w:rPr>
      </w:pPr>
      <w:r>
        <w:rPr>
          <w:b/>
          <w:bCs/>
          <w:spacing w:val="2"/>
          <w:sz w:val="26"/>
          <w:szCs w:val="26"/>
          <w:highlight w:val="white"/>
        </w:rPr>
        <w:t>01.09.2019 г.</w:t>
      </w:r>
    </w:p>
    <w:tbl>
      <w:tblPr>
        <w:tblW w:w="10473" w:type="dxa"/>
        <w:tblInd w:w="-6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1391"/>
        <w:gridCol w:w="1371"/>
        <w:gridCol w:w="1628"/>
        <w:gridCol w:w="3065"/>
      </w:tblGrid>
      <w:tr w:rsidR="0031790D">
        <w:trPr>
          <w:trHeight w:val="436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31790D">
            <w:pPr>
              <w:snapToGrid w:val="0"/>
              <w:jc w:val="center"/>
              <w:rPr>
                <w:spacing w:val="2"/>
                <w:sz w:val="26"/>
                <w:szCs w:val="26"/>
                <w:highlight w:val="white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bCs/>
                <w:spacing w:val="2"/>
                <w:sz w:val="26"/>
                <w:szCs w:val="26"/>
                <w:highlight w:val="white"/>
              </w:rPr>
            </w:pPr>
            <w:r>
              <w:rPr>
                <w:bCs/>
                <w:spacing w:val="2"/>
                <w:sz w:val="26"/>
                <w:szCs w:val="26"/>
                <w:highlight w:val="white"/>
              </w:rPr>
              <w:t>Мужчины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bCs/>
                <w:spacing w:val="2"/>
                <w:sz w:val="26"/>
                <w:szCs w:val="26"/>
                <w:highlight w:val="white"/>
              </w:rPr>
            </w:pPr>
            <w:r>
              <w:rPr>
                <w:bCs/>
                <w:spacing w:val="2"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bCs/>
                <w:spacing w:val="2"/>
                <w:sz w:val="26"/>
                <w:szCs w:val="26"/>
                <w:highlight w:val="white"/>
              </w:rPr>
            </w:pPr>
            <w:r>
              <w:rPr>
                <w:bCs/>
                <w:spacing w:val="2"/>
                <w:sz w:val="26"/>
                <w:szCs w:val="26"/>
                <w:highlight w:val="white"/>
              </w:rPr>
              <w:t>Женщины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bCs/>
                <w:spacing w:val="2"/>
                <w:sz w:val="26"/>
                <w:szCs w:val="26"/>
                <w:highlight w:val="white"/>
              </w:rPr>
            </w:pPr>
            <w:r>
              <w:rPr>
                <w:bCs/>
                <w:spacing w:val="2"/>
                <w:sz w:val="26"/>
                <w:szCs w:val="26"/>
                <w:highlight w:val="white"/>
              </w:rPr>
              <w:t>%</w:t>
            </w:r>
          </w:p>
        </w:tc>
      </w:tr>
      <w:tr w:rsidR="0031790D">
        <w:trPr>
          <w:trHeight w:val="315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До 30 лет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8,3</w:t>
            </w:r>
          </w:p>
          <w:p w:rsidR="0031790D" w:rsidRDefault="0031790D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36,4</w:t>
            </w:r>
          </w:p>
        </w:tc>
      </w:tr>
      <w:tr w:rsidR="0031790D">
        <w:trPr>
          <w:trHeight w:val="375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 xml:space="preserve">30 — 45 лет  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8,3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9,1</w:t>
            </w:r>
          </w:p>
        </w:tc>
      </w:tr>
      <w:tr w:rsidR="0031790D">
        <w:trPr>
          <w:trHeight w:val="410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45 — 55 лет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50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27,3</w:t>
            </w:r>
          </w:p>
        </w:tc>
      </w:tr>
      <w:tr w:rsidR="0031790D">
        <w:trPr>
          <w:trHeight w:val="415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Старше 55 лет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25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9,1</w:t>
            </w:r>
          </w:p>
        </w:tc>
      </w:tr>
      <w:tr w:rsidR="0031790D">
        <w:trPr>
          <w:trHeight w:val="421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Старше 60 лет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8,3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1790D" w:rsidRDefault="00556827">
            <w:pPr>
              <w:jc w:val="center"/>
              <w:rPr>
                <w:spacing w:val="2"/>
                <w:sz w:val="26"/>
                <w:szCs w:val="26"/>
                <w:highlight w:val="white"/>
              </w:rPr>
            </w:pPr>
            <w:r>
              <w:rPr>
                <w:spacing w:val="2"/>
                <w:sz w:val="26"/>
                <w:szCs w:val="26"/>
                <w:highlight w:val="white"/>
              </w:rPr>
              <w:t>18,2</w:t>
            </w:r>
          </w:p>
        </w:tc>
      </w:tr>
    </w:tbl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  <w:rPr>
          <w:b/>
          <w:bCs/>
          <w:color w:val="000000"/>
          <w:spacing w:val="2"/>
          <w:sz w:val="26"/>
          <w:szCs w:val="26"/>
          <w:highlight w:val="white"/>
        </w:rPr>
      </w:pPr>
      <w:r>
        <w:rPr>
          <w:b/>
          <w:bCs/>
          <w:color w:val="000000"/>
          <w:spacing w:val="2"/>
          <w:sz w:val="26"/>
          <w:szCs w:val="26"/>
          <w:highlight w:val="white"/>
        </w:rPr>
        <w:t xml:space="preserve">  </w:t>
      </w:r>
      <w:r>
        <w:rPr>
          <w:b/>
          <w:bCs/>
          <w:color w:val="000000"/>
          <w:spacing w:val="2"/>
          <w:sz w:val="26"/>
          <w:szCs w:val="26"/>
          <w:highlight w:val="white"/>
        </w:rPr>
        <w:tab/>
      </w: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</w:pPr>
      <w:r>
        <w:rPr>
          <w:b/>
          <w:bCs/>
          <w:color w:val="000000"/>
          <w:spacing w:val="2"/>
          <w:sz w:val="26"/>
          <w:szCs w:val="26"/>
          <w:highlight w:val="white"/>
        </w:rPr>
        <w:t xml:space="preserve"> </w:t>
      </w:r>
      <w:r>
        <w:rPr>
          <w:color w:val="000000"/>
          <w:spacing w:val="2"/>
          <w:sz w:val="26"/>
          <w:szCs w:val="26"/>
          <w:highlight w:val="white"/>
        </w:rPr>
        <w:t xml:space="preserve">При анализе половозрастного состава врачебного звена следует отметить что 30,4% врачей старше 55 лет, в возрасте 45-55 лет 39,4%, соответственно 60,9% специалистов находятся в предпенсионном возрасте либо на пенсии. </w:t>
      </w: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  <w:rPr>
          <w:color w:val="000000"/>
          <w:spacing w:val="2"/>
          <w:sz w:val="26"/>
          <w:szCs w:val="26"/>
          <w:highlight w:val="white"/>
        </w:rPr>
      </w:pPr>
      <w:r>
        <w:rPr>
          <w:color w:val="000000"/>
          <w:spacing w:val="2"/>
          <w:sz w:val="26"/>
          <w:szCs w:val="26"/>
          <w:highlight w:val="white"/>
        </w:rPr>
        <w:tab/>
        <w:t>Динамика заболеваемости имеет тенденцию к снижению (от 5,7 % до 14,7 % в год). Настораживающая демографическая ситуация требуют принятия действенных мер к формированию кадровой политики в здравоохранении, так как медицинские кадры - наиболее значимая часть ресурсов здравоохранения, определяющая эффективность деятельности как отдельных структурных подразделений, так и здравоохранения в целом.</w:t>
      </w: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  <w:rPr>
          <w:color w:val="000000"/>
          <w:spacing w:val="2"/>
          <w:sz w:val="26"/>
          <w:szCs w:val="26"/>
          <w:highlight w:val="white"/>
        </w:rPr>
      </w:pPr>
      <w:r>
        <w:rPr>
          <w:color w:val="000000"/>
          <w:spacing w:val="2"/>
          <w:sz w:val="26"/>
          <w:szCs w:val="26"/>
          <w:highlight w:val="white"/>
        </w:rPr>
        <w:t xml:space="preserve">В 2019 году от Никольского района в медицинских вузах учится 30 молодых людей, которые в скором времени вернутся и заполнят пустующие вакансии. </w:t>
      </w:r>
    </w:p>
    <w:p w:rsidR="0031790D" w:rsidRDefault="00556827">
      <w:pPr>
        <w:jc w:val="both"/>
      </w:pPr>
      <w:r>
        <w:rPr>
          <w:spacing w:val="2"/>
          <w:sz w:val="26"/>
          <w:szCs w:val="26"/>
          <w:highlight w:val="white"/>
        </w:rPr>
        <w:t xml:space="preserve">  </w:t>
      </w:r>
      <w:r>
        <w:rPr>
          <w:spacing w:val="2"/>
          <w:sz w:val="26"/>
          <w:szCs w:val="26"/>
          <w:highlight w:val="white"/>
        </w:rPr>
        <w:tab/>
        <w:t>На протяжении последних 10 лет в здравоохранении района произошли поз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тивные сдвиги в улучшении кадровой ситуации, хотя низкая укомплектованность вр</w:t>
      </w:r>
      <w:r>
        <w:rPr>
          <w:spacing w:val="2"/>
          <w:sz w:val="26"/>
          <w:szCs w:val="26"/>
          <w:highlight w:val="white"/>
        </w:rPr>
        <w:t>а</w:t>
      </w:r>
      <w:r>
        <w:rPr>
          <w:spacing w:val="2"/>
          <w:sz w:val="26"/>
          <w:szCs w:val="26"/>
          <w:highlight w:val="white"/>
        </w:rPr>
        <w:t>чебного звена, высокий коэффициент совместительства является прямой причиной низкого уровня доступности и качества медицинской помощи населению, что отраж</w:t>
      </w:r>
      <w:r>
        <w:rPr>
          <w:spacing w:val="2"/>
          <w:sz w:val="26"/>
          <w:szCs w:val="26"/>
          <w:highlight w:val="white"/>
        </w:rPr>
        <w:t>а</w:t>
      </w:r>
      <w:r>
        <w:rPr>
          <w:spacing w:val="2"/>
          <w:sz w:val="26"/>
          <w:szCs w:val="26"/>
          <w:highlight w:val="white"/>
        </w:rPr>
        <w:t>ется неудовлетворенностью потребителями медицинских услуг. В достаточной степ</w:t>
      </w:r>
      <w:r>
        <w:rPr>
          <w:spacing w:val="2"/>
          <w:sz w:val="26"/>
          <w:szCs w:val="26"/>
          <w:highlight w:val="white"/>
        </w:rPr>
        <w:t>е</w:t>
      </w:r>
      <w:r>
        <w:rPr>
          <w:spacing w:val="2"/>
          <w:sz w:val="26"/>
          <w:szCs w:val="26"/>
          <w:highlight w:val="white"/>
        </w:rPr>
        <w:lastRenderedPageBreak/>
        <w:t>ни затрудняется возможность комплексного внедрения современных подходов в леч</w:t>
      </w:r>
      <w:r>
        <w:rPr>
          <w:spacing w:val="2"/>
          <w:sz w:val="26"/>
          <w:szCs w:val="26"/>
          <w:highlight w:val="white"/>
        </w:rPr>
        <w:t>е</w:t>
      </w:r>
      <w:r>
        <w:rPr>
          <w:spacing w:val="2"/>
          <w:sz w:val="26"/>
          <w:szCs w:val="26"/>
          <w:highlight w:val="white"/>
        </w:rPr>
        <w:t>нии. Такие факторы как низкий уровень заработной платы, отсутствие жилья, высокая нагрузка, формируют негативный имидж профессии медицинского работника в усл</w:t>
      </w:r>
      <w:r>
        <w:rPr>
          <w:spacing w:val="2"/>
          <w:sz w:val="26"/>
          <w:szCs w:val="26"/>
          <w:highlight w:val="white"/>
        </w:rPr>
        <w:t>о</w:t>
      </w:r>
      <w:r>
        <w:rPr>
          <w:spacing w:val="2"/>
          <w:sz w:val="26"/>
          <w:szCs w:val="26"/>
          <w:highlight w:val="white"/>
        </w:rPr>
        <w:t>виях районного здравоохранения.  Таким образом связать в единую стратегическую цель у школьников и их родителей перспективу получения высшего или среднего м</w:t>
      </w:r>
      <w:r>
        <w:rPr>
          <w:spacing w:val="2"/>
          <w:sz w:val="26"/>
          <w:szCs w:val="26"/>
          <w:highlight w:val="white"/>
        </w:rPr>
        <w:t>е</w:t>
      </w:r>
      <w:r>
        <w:rPr>
          <w:spacing w:val="2"/>
          <w:sz w:val="26"/>
          <w:szCs w:val="26"/>
          <w:highlight w:val="white"/>
        </w:rPr>
        <w:t>дицинского образования с последующим трудоустройством БУЗ ВО «Никольская ЦРБ» является сложной и комплексной профориентационной задачей. Мотивация у работающих врачей или интернов к смене постоянного места жительства и переезд в   г. Никольск возможен за счет материальной составляющей и перспективы безвозмез</w:t>
      </w:r>
      <w:r>
        <w:rPr>
          <w:spacing w:val="2"/>
          <w:sz w:val="26"/>
          <w:szCs w:val="26"/>
          <w:highlight w:val="white"/>
        </w:rPr>
        <w:t>д</w:t>
      </w:r>
      <w:r>
        <w:rPr>
          <w:spacing w:val="2"/>
          <w:sz w:val="26"/>
          <w:szCs w:val="26"/>
          <w:highlight w:val="white"/>
        </w:rPr>
        <w:t xml:space="preserve">ного приобретения недвижимости. </w:t>
      </w:r>
    </w:p>
    <w:p w:rsidR="0031790D" w:rsidRDefault="00556827">
      <w:pPr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ab/>
        <w:t>Кадровый дефицит в здравоохранении района является актуальной проблемой на фоне роста заболеваемости населения и сокращения его численности за 3 года (2016-2019) на 11,6%, в том числе сокращение доли населения трудоспособного возраста в районе составила 2016-2019 годы 22,8% увеличения доли лиц пожилого возраста с 2016-2019 годы (городского населения) на 10,6%.</w:t>
      </w:r>
    </w:p>
    <w:p w:rsidR="0031790D" w:rsidRDefault="00556827">
      <w:pPr>
        <w:tabs>
          <w:tab w:val="left" w:pos="1080"/>
          <w:tab w:val="left" w:pos="2268"/>
          <w:tab w:val="left" w:pos="2410"/>
        </w:tabs>
        <w:suppressAutoHyphens/>
        <w:ind w:firstLine="567"/>
        <w:jc w:val="both"/>
        <w:rPr>
          <w:color w:val="000000"/>
          <w:spacing w:val="2"/>
          <w:sz w:val="26"/>
          <w:szCs w:val="26"/>
          <w:highlight w:val="white"/>
        </w:rPr>
      </w:pPr>
      <w:r>
        <w:rPr>
          <w:color w:val="000000"/>
          <w:spacing w:val="2"/>
          <w:sz w:val="26"/>
          <w:szCs w:val="26"/>
          <w:highlight w:val="white"/>
        </w:rPr>
        <w:t xml:space="preserve">  </w:t>
      </w:r>
      <w:r>
        <w:rPr>
          <w:color w:val="000000"/>
          <w:spacing w:val="2"/>
          <w:sz w:val="26"/>
          <w:szCs w:val="26"/>
          <w:highlight w:val="white"/>
        </w:rPr>
        <w:tab/>
        <w:t>В 2019 году здравоохранение района нуждается во врачах новой формации мышления, владеющими современными актуальными знаниями, владеющими навыками принятия эффективных решений. Для реализации этих задач нужны молодые, компетентные, инициативные специалисты.</w:t>
      </w:r>
    </w:p>
    <w:p w:rsidR="0031790D" w:rsidRDefault="00556827">
      <w:r>
        <w:rPr>
          <w:b/>
          <w:bCs/>
          <w:color w:val="000000"/>
          <w:spacing w:val="2"/>
          <w:sz w:val="26"/>
          <w:szCs w:val="26"/>
          <w:highlight w:val="white"/>
        </w:rPr>
        <w:t xml:space="preserve">  </w:t>
      </w:r>
      <w:r>
        <w:rPr>
          <w:b/>
          <w:bCs/>
          <w:color w:val="000000"/>
          <w:spacing w:val="2"/>
          <w:sz w:val="26"/>
          <w:szCs w:val="26"/>
          <w:highlight w:val="white"/>
        </w:rPr>
        <w:tab/>
      </w:r>
      <w:r>
        <w:rPr>
          <w:spacing w:val="2"/>
          <w:sz w:val="26"/>
          <w:szCs w:val="26"/>
          <w:highlight w:val="white"/>
        </w:rPr>
        <w:t>Актуальность данной Программы и необходимость ее реализации на территории Никольского муниципального района обусловлены растущей из года в год потребн</w:t>
      </w:r>
      <w:r>
        <w:rPr>
          <w:spacing w:val="2"/>
          <w:sz w:val="26"/>
          <w:szCs w:val="26"/>
          <w:highlight w:val="white"/>
        </w:rPr>
        <w:t>о</w:t>
      </w:r>
      <w:r>
        <w:rPr>
          <w:spacing w:val="2"/>
          <w:sz w:val="26"/>
          <w:szCs w:val="26"/>
          <w:highlight w:val="white"/>
        </w:rPr>
        <w:t>стью в медицинских кадрах лечебно-профилактических учреждений района.</w:t>
      </w:r>
      <w:r>
        <w:rPr>
          <w:spacing w:val="2"/>
          <w:sz w:val="26"/>
          <w:szCs w:val="26"/>
        </w:rPr>
        <w:br/>
        <w:t xml:space="preserve">  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highlight w:val="white"/>
        </w:rPr>
        <w:t>Обеспечение медицинскими кадрами лечебно-профилактических учреждений, их профессиональный уровень, качество подготовки, обеспечение жильем, достойной заработной платой, наличие необходимых льгот для медицинских работников - осно</w:t>
      </w:r>
      <w:r>
        <w:rPr>
          <w:spacing w:val="2"/>
          <w:sz w:val="26"/>
          <w:szCs w:val="26"/>
          <w:highlight w:val="white"/>
        </w:rPr>
        <w:t>в</w:t>
      </w:r>
      <w:r>
        <w:rPr>
          <w:spacing w:val="2"/>
          <w:sz w:val="26"/>
          <w:szCs w:val="26"/>
          <w:highlight w:val="white"/>
        </w:rPr>
        <w:t>ные направления в работе с медицинскими кадрами.</w:t>
      </w:r>
      <w:r>
        <w:rPr>
          <w:spacing w:val="2"/>
          <w:sz w:val="26"/>
          <w:szCs w:val="26"/>
        </w:rPr>
        <w:br/>
        <w:t xml:space="preserve"> </w:t>
      </w:r>
      <w:r>
        <w:rPr>
          <w:spacing w:val="2"/>
          <w:sz w:val="26"/>
          <w:szCs w:val="26"/>
        </w:rPr>
        <w:tab/>
        <w:t xml:space="preserve"> </w:t>
      </w:r>
      <w:r>
        <w:rPr>
          <w:spacing w:val="2"/>
          <w:sz w:val="26"/>
          <w:szCs w:val="26"/>
          <w:highlight w:val="white"/>
        </w:rPr>
        <w:t>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</w:t>
      </w:r>
      <w:r>
        <w:rPr>
          <w:spacing w:val="2"/>
          <w:sz w:val="26"/>
          <w:szCs w:val="26"/>
          <w:highlight w:val="white"/>
        </w:rPr>
        <w:t>а</w:t>
      </w:r>
      <w:r>
        <w:rPr>
          <w:spacing w:val="2"/>
          <w:sz w:val="26"/>
          <w:szCs w:val="26"/>
          <w:highlight w:val="white"/>
        </w:rPr>
        <w:t>сти и органов местного самоуправления.</w:t>
      </w:r>
      <w:r>
        <w:rPr>
          <w:spacing w:val="2"/>
          <w:sz w:val="26"/>
          <w:szCs w:val="26"/>
        </w:rPr>
        <w:br/>
        <w:t xml:space="preserve"> </w:t>
      </w:r>
      <w:r>
        <w:rPr>
          <w:spacing w:val="2"/>
          <w:sz w:val="26"/>
          <w:szCs w:val="26"/>
        </w:rPr>
        <w:tab/>
        <w:t xml:space="preserve"> </w:t>
      </w:r>
      <w:r>
        <w:rPr>
          <w:spacing w:val="2"/>
          <w:sz w:val="26"/>
          <w:szCs w:val="26"/>
          <w:highlight w:val="white"/>
        </w:rPr>
        <w:t>Программой предусмотрены мероприятия по укомплектованию и закреплению медицинских кадров в лечебно-профилактических учреждениях района.</w:t>
      </w:r>
    </w:p>
    <w:p w:rsidR="0031790D" w:rsidRDefault="00556827">
      <w:pPr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 </w:t>
      </w:r>
      <w:r>
        <w:rPr>
          <w:spacing w:val="2"/>
          <w:sz w:val="26"/>
          <w:szCs w:val="26"/>
          <w:highlight w:val="white"/>
        </w:rPr>
        <w:tab/>
        <w:t>Необходимо привлекать молодых специалистов на долгосрочный период как минимум 10-15 лет, так как  уже реализуемые программы решают кадровый вопрос на среднесрочный период 3-5 лет и возникает проблема цикличного оттока кадров, т.е. по окончании срока действия предмета договора (по различным направлениям) специал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сты уезжают.</w:t>
      </w:r>
    </w:p>
    <w:p w:rsidR="0031790D" w:rsidRDefault="00556827">
      <w:pPr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 </w:t>
      </w:r>
      <w:r>
        <w:rPr>
          <w:spacing w:val="2"/>
          <w:sz w:val="26"/>
          <w:szCs w:val="26"/>
          <w:highlight w:val="white"/>
        </w:rPr>
        <w:tab/>
        <w:t>В районе существует потребность в специалистах со средним медицинским о</w:t>
      </w:r>
      <w:r>
        <w:rPr>
          <w:spacing w:val="2"/>
          <w:sz w:val="26"/>
          <w:szCs w:val="26"/>
          <w:highlight w:val="white"/>
        </w:rPr>
        <w:t>б</w:t>
      </w:r>
      <w:r>
        <w:rPr>
          <w:spacing w:val="2"/>
          <w:sz w:val="26"/>
          <w:szCs w:val="26"/>
          <w:highlight w:val="white"/>
        </w:rPr>
        <w:t>разованием в сельских поселениях в ФАПах. Со студентами администрация района з</w:t>
      </w:r>
      <w:r>
        <w:rPr>
          <w:spacing w:val="2"/>
          <w:sz w:val="26"/>
          <w:szCs w:val="26"/>
          <w:highlight w:val="white"/>
        </w:rPr>
        <w:t>а</w:t>
      </w:r>
      <w:r>
        <w:rPr>
          <w:spacing w:val="2"/>
          <w:sz w:val="26"/>
          <w:szCs w:val="26"/>
          <w:highlight w:val="white"/>
        </w:rPr>
        <w:t>ключает договора о подготовке специалиста. Администрация района выплачивает ст</w:t>
      </w:r>
      <w:r>
        <w:rPr>
          <w:spacing w:val="2"/>
          <w:sz w:val="26"/>
          <w:szCs w:val="26"/>
          <w:highlight w:val="white"/>
        </w:rPr>
        <w:t>у</w:t>
      </w:r>
      <w:r>
        <w:rPr>
          <w:spacing w:val="2"/>
          <w:sz w:val="26"/>
          <w:szCs w:val="26"/>
          <w:highlight w:val="white"/>
        </w:rPr>
        <w:t>денту стипендию, больница  организует для данного студента практику и принимает студента окончившего медицинское учреждение на работу в ФАПы. Студент обязан осваивать образовательную программу и по окончании учебы отработать в сельских поселениях на ФАПе не менее 5 лет. Это позволит сократить потребность в специал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стах здравоохранения  на селе. В Никольском районе существует потребность в спец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алистах  фельдшерах на ближайшие пять лет: в Полежаевском ФАП,  Вахневском ФАП, В-Кемской участковой больнице, Нигинском ФАП, Кудангском ФАП, Теребае</w:t>
      </w:r>
      <w:r>
        <w:rPr>
          <w:spacing w:val="2"/>
          <w:sz w:val="26"/>
          <w:szCs w:val="26"/>
          <w:highlight w:val="white"/>
        </w:rPr>
        <w:t>в</w:t>
      </w:r>
      <w:r>
        <w:rPr>
          <w:spacing w:val="2"/>
          <w:sz w:val="26"/>
          <w:szCs w:val="26"/>
          <w:highlight w:val="white"/>
        </w:rPr>
        <w:t xml:space="preserve">ском ФАП по 1 фельдшеру.  </w:t>
      </w:r>
    </w:p>
    <w:p w:rsidR="0031790D" w:rsidRDefault="00556827">
      <w:pPr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</w:t>
      </w:r>
      <w:r>
        <w:rPr>
          <w:spacing w:val="2"/>
          <w:sz w:val="26"/>
          <w:szCs w:val="26"/>
          <w:highlight w:val="white"/>
        </w:rPr>
        <w:tab/>
        <w:t>Коэффициент совместительства у врачей 1,53. Это приводит к значительным п</w:t>
      </w:r>
      <w:r>
        <w:rPr>
          <w:spacing w:val="2"/>
          <w:sz w:val="26"/>
          <w:szCs w:val="26"/>
          <w:highlight w:val="white"/>
        </w:rPr>
        <w:t>е</w:t>
      </w:r>
      <w:r>
        <w:rPr>
          <w:spacing w:val="2"/>
          <w:sz w:val="26"/>
          <w:szCs w:val="26"/>
          <w:highlight w:val="white"/>
        </w:rPr>
        <w:t>регрузкам, ухудшает качество и снижает доступность медицинской помощи.</w:t>
      </w:r>
    </w:p>
    <w:p w:rsidR="0031790D" w:rsidRDefault="00556827">
      <w:pPr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</w:t>
      </w:r>
      <w:r>
        <w:rPr>
          <w:spacing w:val="2"/>
          <w:sz w:val="26"/>
          <w:szCs w:val="26"/>
          <w:highlight w:val="white"/>
        </w:rPr>
        <w:tab/>
      </w:r>
    </w:p>
    <w:p w:rsidR="0031790D" w:rsidRDefault="0031790D">
      <w:pPr>
        <w:jc w:val="both"/>
      </w:pPr>
    </w:p>
    <w:p w:rsidR="0031790D" w:rsidRDefault="00556827">
      <w:pPr>
        <w:ind w:left="360"/>
        <w:jc w:val="center"/>
        <w:rPr>
          <w:b/>
          <w:bCs/>
          <w:spacing w:val="2"/>
          <w:sz w:val="26"/>
          <w:szCs w:val="26"/>
          <w:highlight w:val="white"/>
        </w:rPr>
      </w:pPr>
      <w:r>
        <w:rPr>
          <w:b/>
          <w:bCs/>
          <w:spacing w:val="2"/>
          <w:sz w:val="26"/>
          <w:szCs w:val="26"/>
          <w:highlight w:val="white"/>
        </w:rPr>
        <w:lastRenderedPageBreak/>
        <w:t>Раздел 2. Цели, задачи, целевые показатели, основные ожидаемые результаты, сроки и этапы реализации муниципальной программы.</w:t>
      </w:r>
    </w:p>
    <w:p w:rsidR="0031790D" w:rsidRDefault="0031790D">
      <w:pPr>
        <w:ind w:firstLine="705"/>
        <w:jc w:val="both"/>
        <w:rPr>
          <w:sz w:val="26"/>
          <w:szCs w:val="26"/>
        </w:rPr>
      </w:pPr>
    </w:p>
    <w:p w:rsidR="0031790D" w:rsidRDefault="00556827">
      <w:pPr>
        <w:ind w:firstLine="705"/>
        <w:jc w:val="both"/>
      </w:pPr>
      <w:r>
        <w:rPr>
          <w:spacing w:val="2"/>
          <w:sz w:val="26"/>
          <w:szCs w:val="26"/>
          <w:highlight w:val="white"/>
        </w:rPr>
        <w:t>Исходя из стратегических приоритетов целью муниципальной программы явл</w:t>
      </w:r>
      <w:r>
        <w:rPr>
          <w:spacing w:val="2"/>
          <w:sz w:val="26"/>
          <w:szCs w:val="26"/>
          <w:highlight w:val="white"/>
        </w:rPr>
        <w:t>я</w:t>
      </w:r>
      <w:r>
        <w:rPr>
          <w:spacing w:val="2"/>
          <w:sz w:val="26"/>
          <w:szCs w:val="26"/>
          <w:highlight w:val="white"/>
        </w:rPr>
        <w:t>ется  сохранение имеющегося кадрового потенциала БУЗ ВО «Никольская ЦРБ» мед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цинскими кадрами, привлечение и закрепление в Никольском муниципальном районе специалистов с высшим и средним медицинским образованием, повышение доступн</w:t>
      </w:r>
      <w:r>
        <w:rPr>
          <w:spacing w:val="2"/>
          <w:sz w:val="26"/>
          <w:szCs w:val="26"/>
          <w:highlight w:val="white"/>
        </w:rPr>
        <w:t>о</w:t>
      </w:r>
      <w:r>
        <w:rPr>
          <w:spacing w:val="2"/>
          <w:sz w:val="26"/>
          <w:szCs w:val="26"/>
          <w:highlight w:val="white"/>
        </w:rPr>
        <w:t>сти и качества медицинской помощи, независимо от места жительства.</w:t>
      </w:r>
    </w:p>
    <w:p w:rsidR="0031790D" w:rsidRDefault="00556827">
      <w:pPr>
        <w:ind w:firstLine="567"/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 Для достижения поставленной цели необходимо решение следующих задач:</w:t>
      </w:r>
    </w:p>
    <w:p w:rsidR="0031790D" w:rsidRDefault="00556827">
      <w:r>
        <w:rPr>
          <w:spacing w:val="2"/>
          <w:sz w:val="26"/>
          <w:szCs w:val="26"/>
          <w:highlight w:val="white"/>
        </w:rPr>
        <w:t>- Обеспечение здравоохранения медицинскими кадрами в соответствии с потребн</w:t>
      </w:r>
      <w:r>
        <w:rPr>
          <w:spacing w:val="2"/>
          <w:sz w:val="26"/>
          <w:szCs w:val="26"/>
          <w:highlight w:val="white"/>
        </w:rPr>
        <w:t>о</w:t>
      </w:r>
      <w:r>
        <w:rPr>
          <w:spacing w:val="2"/>
          <w:sz w:val="26"/>
          <w:szCs w:val="26"/>
          <w:highlight w:val="white"/>
        </w:rPr>
        <w:t>стью населения в качественной медицинской помощи;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>- Создание условий для закрепления специалистов в сельской местности;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>- Использование возможностей межрегиональной трудовой миграции. Разработка и р</w:t>
      </w:r>
      <w:r>
        <w:rPr>
          <w:spacing w:val="2"/>
          <w:sz w:val="26"/>
          <w:szCs w:val="26"/>
          <w:highlight w:val="white"/>
        </w:rPr>
        <w:t>е</w:t>
      </w:r>
      <w:r>
        <w:rPr>
          <w:spacing w:val="2"/>
          <w:sz w:val="26"/>
          <w:szCs w:val="26"/>
          <w:highlight w:val="white"/>
        </w:rPr>
        <w:t>ализация комплекса мероприятий по содействию внешней трудовой миграции.</w:t>
      </w:r>
    </w:p>
    <w:p w:rsidR="0031790D" w:rsidRDefault="00556827">
      <w:pPr>
        <w:snapToGrid w:val="0"/>
        <w:ind w:firstLine="567"/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Муниципальная программа рассчитана на период 2020-2025 годы.</w:t>
      </w:r>
    </w:p>
    <w:p w:rsidR="0031790D" w:rsidRDefault="00556827">
      <w:pPr>
        <w:snapToGrid w:val="0"/>
        <w:ind w:firstLine="567"/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Сведения о целевых показателях муниципальной программы представлены в Приложении 1 к муниципальной программе.</w:t>
      </w:r>
    </w:p>
    <w:p w:rsidR="0031790D" w:rsidRDefault="00556827">
      <w:pPr>
        <w:snapToGrid w:val="0"/>
        <w:ind w:firstLine="567"/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Методика расчета значений целевых показателей программы приведена в Пр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ложении 2 к муниципальной программе.</w:t>
      </w:r>
    </w:p>
    <w:p w:rsidR="0031790D" w:rsidRDefault="00556827">
      <w:pPr>
        <w:snapToGrid w:val="0"/>
        <w:ind w:firstLine="567"/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 Реализация муниципальной программы к 2025 году позволит достичь следу</w:t>
      </w:r>
      <w:r>
        <w:rPr>
          <w:spacing w:val="2"/>
          <w:sz w:val="26"/>
          <w:szCs w:val="26"/>
          <w:highlight w:val="white"/>
        </w:rPr>
        <w:t>ю</w:t>
      </w:r>
      <w:r>
        <w:rPr>
          <w:spacing w:val="2"/>
          <w:sz w:val="26"/>
          <w:szCs w:val="26"/>
          <w:highlight w:val="white"/>
        </w:rPr>
        <w:t>щих результатов:</w:t>
      </w:r>
    </w:p>
    <w:p w:rsidR="0031790D" w:rsidRDefault="00556827">
      <w:r>
        <w:rPr>
          <w:spacing w:val="2"/>
          <w:sz w:val="26"/>
          <w:szCs w:val="26"/>
          <w:highlight w:val="white"/>
        </w:rPr>
        <w:t xml:space="preserve">- </w:t>
      </w:r>
      <w:r>
        <w:rPr>
          <w:spacing w:val="2"/>
          <w:sz w:val="24"/>
          <w:szCs w:val="24"/>
          <w:highlight w:val="white"/>
        </w:rPr>
        <w:t>Снижение уровня смертности от болезней системы кровообращения с 846,0 случаев на 100 тыс. населения в 2018 году до 811,9 случаев к 2025 году;</w:t>
      </w:r>
    </w:p>
    <w:p w:rsidR="0031790D" w:rsidRDefault="00556827">
      <w:pPr>
        <w:rPr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highlight w:val="white"/>
        </w:rPr>
        <w:t>- Снижение уровня смертности от новообразований с 221,7 случаев на 100 тыс. населения в 2018 году до  199,5 случаев в 2025 году;</w:t>
      </w:r>
    </w:p>
    <w:p w:rsidR="0031790D" w:rsidRDefault="00556827">
      <w:pPr>
        <w:rPr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highlight w:val="white"/>
        </w:rPr>
        <w:t>- Снижение уровня смертности от туберкулеза с 3,3 случаев на 100 тыс. населения в 2018 году до 3,2 случая к 2025 году;</w:t>
      </w:r>
    </w:p>
    <w:p w:rsidR="0031790D" w:rsidRDefault="00556827">
      <w:pPr>
        <w:rPr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highlight w:val="white"/>
        </w:rPr>
        <w:t>- Увеличение объема охвата диспансеризацией определенных групп взрослого населения с 86,0 % в 2018 году до  95,1 % к 2025 году;</w:t>
      </w:r>
    </w:p>
    <w:p w:rsidR="0031790D" w:rsidRDefault="00556827">
      <w:r>
        <w:rPr>
          <w:spacing w:val="2"/>
          <w:sz w:val="24"/>
          <w:szCs w:val="24"/>
          <w:highlight w:val="white"/>
        </w:rPr>
        <w:t>- Увеличение уровня укомплектованности врачами медицинских учреждений  с 35,6 % в 2018 году до  40,7 % к 2025 году</w:t>
      </w:r>
      <w:r>
        <w:rPr>
          <w:spacing w:val="2"/>
          <w:sz w:val="26"/>
          <w:szCs w:val="26"/>
          <w:highlight w:val="white"/>
        </w:rPr>
        <w:t>.</w:t>
      </w:r>
    </w:p>
    <w:p w:rsidR="0031790D" w:rsidRDefault="0031790D">
      <w:pPr>
        <w:snapToGrid w:val="0"/>
        <w:ind w:firstLine="567"/>
        <w:rPr>
          <w:spacing w:val="2"/>
          <w:sz w:val="26"/>
          <w:szCs w:val="26"/>
          <w:highlight w:val="white"/>
        </w:rPr>
      </w:pPr>
    </w:p>
    <w:p w:rsidR="0031790D" w:rsidRDefault="00556827">
      <w:pPr>
        <w:jc w:val="center"/>
        <w:rPr>
          <w:b/>
          <w:bCs/>
          <w:spacing w:val="2"/>
          <w:sz w:val="26"/>
          <w:szCs w:val="26"/>
          <w:highlight w:val="white"/>
        </w:rPr>
      </w:pPr>
      <w:r>
        <w:rPr>
          <w:b/>
          <w:bCs/>
          <w:spacing w:val="2"/>
          <w:sz w:val="26"/>
          <w:szCs w:val="26"/>
          <w:highlight w:val="white"/>
        </w:rPr>
        <w:t>Раздел 3. Информация о финансовом обеспечении реализации муниципальной программы за счет средств районного бюджета</w:t>
      </w:r>
    </w:p>
    <w:p w:rsidR="0031790D" w:rsidRDefault="0031790D">
      <w:pPr>
        <w:jc w:val="center"/>
        <w:rPr>
          <w:b/>
          <w:bCs/>
          <w:spacing w:val="2"/>
          <w:sz w:val="26"/>
          <w:szCs w:val="26"/>
          <w:highlight w:val="white"/>
        </w:rPr>
      </w:pPr>
    </w:p>
    <w:p w:rsidR="00556827" w:rsidRPr="00556827" w:rsidRDefault="00556827" w:rsidP="00556827">
      <w:pPr>
        <w:pStyle w:val="Standard"/>
        <w:contextualSpacing/>
        <w:jc w:val="both"/>
        <w:rPr>
          <w:sz w:val="24"/>
          <w:szCs w:val="24"/>
        </w:rPr>
      </w:pPr>
      <w:r>
        <w:rPr>
          <w:b/>
          <w:bCs/>
          <w:spacing w:val="2"/>
          <w:sz w:val="26"/>
          <w:szCs w:val="26"/>
          <w:highlight w:val="white"/>
        </w:rPr>
        <w:tab/>
      </w:r>
      <w:r>
        <w:rPr>
          <w:color w:val="000000"/>
          <w:spacing w:val="2"/>
          <w:sz w:val="24"/>
          <w:szCs w:val="24"/>
          <w:highlight w:val="white"/>
        </w:rPr>
        <w:t xml:space="preserve"> </w:t>
      </w:r>
      <w:r w:rsidRPr="00556827">
        <w:rPr>
          <w:color w:val="000000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реализации муниципальной программы 4440,7 тыс. руб. в том числе по годам реализации: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2020 год — 457,2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2021 год —  187,8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2022 год — 657,7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2023 год —  1046,0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2024 год —  1046,0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2025 год —  1046,0 тыс. рублей.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jc w:val="both"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из них за счет средств районного бюджета 3669,7 тыс. руб. в том числе по годам реализации: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2020 год — 133,2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2021 год — 172,8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2022 год — 549,7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2023 год — 938,0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2024 год — 938,0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2025 год — 938,0 тыс. рублей.</w:t>
      </w: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br/>
        <w:t xml:space="preserve"> из них за счет средств организации БУЗ ВО «Никольская ЦРБ» 771,0  тыс. рублей, в том чи</w:t>
      </w: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с</w:t>
      </w: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ле по годам реализации: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lastRenderedPageBreak/>
        <w:t>2020 год — 324,0 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2021 год —  15,0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2022 год — 108,0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2023 год —  108,0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2024 год —  108,0 тыс. рублей;</w:t>
      </w:r>
    </w:p>
    <w:p w:rsidR="00556827" w:rsidRPr="00556827" w:rsidRDefault="00556827" w:rsidP="00556827">
      <w:pPr>
        <w:snapToGrid w:val="0"/>
        <w:spacing w:after="198"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556827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2025 год —  108,0 тыс. рублей.</w:t>
      </w:r>
    </w:p>
    <w:p w:rsidR="00556827" w:rsidRPr="00556827" w:rsidRDefault="00556827" w:rsidP="00556827">
      <w:pPr>
        <w:suppressAutoHyphens/>
        <w:spacing w:before="280" w:after="28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56827">
        <w:rPr>
          <w:rFonts w:eastAsia="Calibri" w:cs="Calibri"/>
          <w:sz w:val="24"/>
          <w:szCs w:val="24"/>
          <w:lang w:eastAsia="en-US"/>
        </w:rPr>
        <w:t>1) Приобретение жилья (капитального ремонта жилья) для предоставления  медперсоналу (врачам, фельдшерам, медицинским сестрам), привлекаемому из других муниципальных образований Вологодской области, субъектов Российской Федерации и молодым специалистам после окончания медицинских ВУЗов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71"/>
        <w:gridCol w:w="958"/>
        <w:gridCol w:w="992"/>
        <w:gridCol w:w="1012"/>
        <w:gridCol w:w="1060"/>
        <w:gridCol w:w="1012"/>
        <w:gridCol w:w="939"/>
        <w:gridCol w:w="995"/>
      </w:tblGrid>
      <w:tr w:rsidR="00556827" w:rsidRPr="00556827" w:rsidTr="00556827">
        <w:trPr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2021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2022  г.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2025 г.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Кол-во приобретаемого,  ремонтируемого жилья (шт.).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Районный бюджет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сумма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тыс. руб.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111,7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500,0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500,0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before="280" w:after="280"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556827" w:rsidRPr="00556827" w:rsidRDefault="00556827" w:rsidP="00556827">
      <w:pPr>
        <w:suppressAutoHyphens/>
        <w:spacing w:before="280" w:after="28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56827">
        <w:rPr>
          <w:rFonts w:eastAsia="Calibri" w:cs="Calibri"/>
          <w:sz w:val="24"/>
          <w:szCs w:val="24"/>
          <w:lang w:eastAsia="en-US"/>
        </w:rPr>
        <w:t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ВО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551"/>
        <w:gridCol w:w="1093"/>
        <w:gridCol w:w="963"/>
        <w:gridCol w:w="878"/>
        <w:gridCol w:w="1011"/>
        <w:gridCol w:w="1011"/>
        <w:gridCol w:w="1010"/>
        <w:gridCol w:w="1122"/>
      </w:tblGrid>
      <w:tr w:rsidR="00556827" w:rsidRPr="00556827" w:rsidTr="00556827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 xml:space="preserve">2025 г.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кол-во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Районный бюджет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Стипендии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556827" w:rsidRPr="00556827" w:rsidTr="00556827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кол-во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 xml:space="preserve">Средства 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БУЗ ВО «Никольская  ЦРБ»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Стипендии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</w:tc>
      </w:tr>
    </w:tbl>
    <w:p w:rsidR="00556827" w:rsidRPr="00556827" w:rsidRDefault="00556827" w:rsidP="00556827">
      <w:pPr>
        <w:suppressAutoHyphens/>
        <w:spacing w:before="280" w:after="280" w:line="276" w:lineRule="auto"/>
        <w:jc w:val="both"/>
        <w:rPr>
          <w:rFonts w:eastAsia="Calibri" w:cs="Calibri"/>
          <w:sz w:val="24"/>
          <w:szCs w:val="24"/>
          <w:lang w:eastAsia="en-US"/>
        </w:rPr>
      </w:pPr>
      <w:r w:rsidRPr="00556827">
        <w:rPr>
          <w:rFonts w:eastAsia="Calibri" w:cs="Calibri"/>
          <w:sz w:val="24"/>
          <w:szCs w:val="24"/>
          <w:lang w:eastAsia="en-US"/>
        </w:rPr>
        <w:t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ФАПов,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ВО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11"/>
        <w:gridCol w:w="1032"/>
        <w:gridCol w:w="968"/>
        <w:gridCol w:w="878"/>
        <w:gridCol w:w="1010"/>
        <w:gridCol w:w="1013"/>
        <w:gridCol w:w="1014"/>
        <w:gridCol w:w="1113"/>
      </w:tblGrid>
      <w:tr w:rsidR="00556827" w:rsidRPr="00556827" w:rsidTr="00556827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2025 г.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ind w:left="686" w:hanging="686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lastRenderedPageBreak/>
              <w:t>кол-во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Районный бюджет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Стипендии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before="280" w:after="280"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556827" w:rsidRPr="00556827" w:rsidTr="00556827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кол-во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before="280" w:after="280"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Средства БУЗ ВО «Никольская  ЦРБ»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Стипендии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48,0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48,0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before="280" w:after="280"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556827" w:rsidRPr="00556827" w:rsidRDefault="00556827" w:rsidP="00556827">
      <w:pPr>
        <w:suppressAutoHyphens/>
        <w:spacing w:before="280" w:after="28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56827">
        <w:rPr>
          <w:rFonts w:eastAsia="Calibri" w:cs="Calibri"/>
          <w:sz w:val="24"/>
          <w:szCs w:val="24"/>
          <w:lang w:eastAsia="en-US"/>
        </w:rPr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917"/>
        <w:gridCol w:w="1004"/>
        <w:gridCol w:w="866"/>
        <w:gridCol w:w="895"/>
        <w:gridCol w:w="969"/>
        <w:gridCol w:w="971"/>
        <w:gridCol w:w="1765"/>
      </w:tblGrid>
      <w:tr w:rsidR="00556827" w:rsidRPr="00556827" w:rsidTr="00556827"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2020г.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2021г.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2023г.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2024 г.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2025 г.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tabs>
                <w:tab w:val="left" w:pos="10591"/>
              </w:tabs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 xml:space="preserve">Источник финансирования                                                      </w:t>
            </w:r>
          </w:p>
        </w:tc>
      </w:tr>
      <w:tr w:rsidR="00556827" w:rsidRPr="00556827" w:rsidTr="00556827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кол-во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человек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Районный бюджет</w:t>
            </w:r>
          </w:p>
        </w:tc>
      </w:tr>
      <w:tr w:rsidR="00556827" w:rsidRPr="00556827" w:rsidTr="00556827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сумма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тыс. руб.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120,0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120,0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120,0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120,0</w:t>
            </w:r>
          </w:p>
        </w:tc>
        <w:tc>
          <w:tcPr>
            <w:tcW w:w="17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before="280" w:after="280"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556827" w:rsidRPr="00556827" w:rsidRDefault="00556827" w:rsidP="00556827">
      <w:pPr>
        <w:suppressAutoHyphens/>
        <w:spacing w:before="280" w:after="28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56827">
        <w:rPr>
          <w:rFonts w:eastAsia="Calibri" w:cs="Calibri"/>
          <w:sz w:val="24"/>
          <w:szCs w:val="24"/>
          <w:lang w:eastAsia="en-US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 ГСМ и найм грузового транспорта)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490"/>
        <w:gridCol w:w="968"/>
        <w:gridCol w:w="973"/>
        <w:gridCol w:w="951"/>
        <w:gridCol w:w="973"/>
        <w:gridCol w:w="1079"/>
        <w:gridCol w:w="972"/>
        <w:gridCol w:w="1233"/>
      </w:tblGrid>
      <w:tr w:rsidR="00556827" w:rsidRPr="00556827" w:rsidTr="00556827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2024 г.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2025 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кол-во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Районный бюджет</w:t>
            </w:r>
          </w:p>
        </w:tc>
      </w:tr>
      <w:tr w:rsidR="00556827" w:rsidRPr="00556827" w:rsidTr="00556827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Компенсация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30,0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30,0</w:t>
            </w:r>
          </w:p>
        </w:tc>
        <w:tc>
          <w:tcPr>
            <w:tcW w:w="1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556827" w:rsidRPr="00556827" w:rsidRDefault="00556827" w:rsidP="00556827">
      <w:pPr>
        <w:suppressAutoHyphens/>
        <w:spacing w:before="280" w:after="28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56827">
        <w:rPr>
          <w:sz w:val="24"/>
          <w:szCs w:val="24"/>
          <w:lang w:eastAsia="en-US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ВО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1"/>
        <w:gridCol w:w="104"/>
        <w:gridCol w:w="891"/>
        <w:gridCol w:w="25"/>
        <w:gridCol w:w="837"/>
        <w:gridCol w:w="30"/>
        <w:gridCol w:w="807"/>
        <w:gridCol w:w="31"/>
        <w:gridCol w:w="824"/>
        <w:gridCol w:w="38"/>
        <w:gridCol w:w="799"/>
        <w:gridCol w:w="45"/>
        <w:gridCol w:w="866"/>
        <w:gridCol w:w="51"/>
        <w:gridCol w:w="1230"/>
      </w:tblGrid>
      <w:tr w:rsidR="00556827" w:rsidRPr="00556827" w:rsidTr="00556827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ind w:left="833" w:hanging="833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2020г.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2023г.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2024 г.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2025 г.</w:t>
            </w:r>
          </w:p>
        </w:tc>
        <w:tc>
          <w:tcPr>
            <w:tcW w:w="1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 xml:space="preserve">Источник </w:t>
            </w:r>
            <w:r w:rsidRPr="00556827">
              <w:rPr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556827" w:rsidRPr="00556827" w:rsidTr="00556827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lastRenderedPageBreak/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tabs>
                <w:tab w:val="left" w:pos="11010"/>
              </w:tabs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Средства БУЗ ВО «Никольская  ЦРБ»</w:t>
            </w:r>
          </w:p>
        </w:tc>
      </w:tr>
      <w:tr w:rsidR="00556827" w:rsidRPr="00556827" w:rsidTr="00556827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Компенсация (тыс. руб.)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60,0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15,0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60,0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60,0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60,0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60,0</w:t>
            </w:r>
          </w:p>
        </w:tc>
        <w:tc>
          <w:tcPr>
            <w:tcW w:w="128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556827" w:rsidRPr="00556827" w:rsidTr="00556827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Медицинские работники (специалисты) с высшим медицинским образованием, поступающие на работу в БУЗ ВО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Средства БУЗ ВО «Никольская  ЦРБ»</w:t>
            </w:r>
          </w:p>
        </w:tc>
      </w:tr>
      <w:tr w:rsidR="00556827" w:rsidRPr="00556827" w:rsidTr="00556827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120,0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556827" w:rsidRPr="00556827" w:rsidTr="00556827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Медицинские работники (специалисты) с высшим медицинским образованием, поступающие на работу в БУЗ ВО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</w:p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556827">
              <w:rPr>
                <w:rFonts w:eastAsia="Calibri" w:cs="Calibri"/>
                <w:sz w:val="24"/>
                <w:szCs w:val="24"/>
                <w:lang w:eastAsia="en-US"/>
              </w:rPr>
              <w:t>Районный бюджет</w:t>
            </w:r>
          </w:p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556827" w:rsidRPr="00556827" w:rsidTr="00556827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129,0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152,0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LineNumbers/>
              <w:suppressAutoHyphens/>
              <w:snapToGrid w:val="0"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556827">
              <w:rPr>
                <w:sz w:val="24"/>
                <w:szCs w:val="24"/>
              </w:rPr>
              <w:t>144,0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56827" w:rsidRPr="00556827" w:rsidRDefault="00556827" w:rsidP="00556827">
            <w:pPr>
              <w:suppressAutoHyphens/>
              <w:snapToGrid w:val="0"/>
              <w:spacing w:line="276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31790D" w:rsidRPr="00556827" w:rsidRDefault="00556827" w:rsidP="00556827">
      <w:pPr>
        <w:snapToGrid w:val="0"/>
        <w:rPr>
          <w:color w:val="000000"/>
          <w:spacing w:val="2"/>
          <w:sz w:val="24"/>
          <w:szCs w:val="24"/>
          <w:highlight w:val="white"/>
        </w:rPr>
      </w:pPr>
      <w:r w:rsidRPr="00556827">
        <w:rPr>
          <w:rFonts w:ascii="Calibri" w:eastAsia="Calibri" w:hAnsi="Calibri" w:cstheme="minorBidi"/>
          <w:color w:val="000000"/>
          <w:spacing w:val="2"/>
          <w:sz w:val="24"/>
          <w:szCs w:val="24"/>
          <w:highlight w:val="white"/>
          <w:lang w:eastAsia="en-US"/>
        </w:rPr>
        <w:tab/>
      </w:r>
      <w:r w:rsidRPr="00556827">
        <w:rPr>
          <w:rFonts w:eastAsia="Calibri"/>
          <w:color w:val="000000"/>
          <w:spacing w:val="2"/>
          <w:sz w:val="24"/>
          <w:szCs w:val="24"/>
          <w:highlight w:val="white"/>
          <w:lang w:eastAsia="en-US"/>
        </w:rPr>
        <w:t>Сведения о расходах бюджета на реализацию муниципальной программы предоставл</w:t>
      </w:r>
      <w:r w:rsidRPr="00556827">
        <w:rPr>
          <w:rFonts w:eastAsia="Calibri"/>
          <w:color w:val="000000"/>
          <w:spacing w:val="2"/>
          <w:sz w:val="24"/>
          <w:szCs w:val="24"/>
          <w:highlight w:val="white"/>
          <w:lang w:eastAsia="en-US"/>
        </w:rPr>
        <w:t>е</w:t>
      </w:r>
      <w:r w:rsidRPr="00556827">
        <w:rPr>
          <w:rFonts w:eastAsia="Calibri"/>
          <w:color w:val="000000"/>
          <w:spacing w:val="2"/>
          <w:sz w:val="24"/>
          <w:szCs w:val="24"/>
          <w:highlight w:val="white"/>
          <w:lang w:eastAsia="en-US"/>
        </w:rPr>
        <w:t>ны в  приложении 3 к муниципальной программе</w:t>
      </w:r>
    </w:p>
    <w:p w:rsidR="0031790D" w:rsidRDefault="0031790D">
      <w:pPr>
        <w:rPr>
          <w:spacing w:val="2"/>
          <w:sz w:val="26"/>
          <w:szCs w:val="26"/>
          <w:highlight w:val="white"/>
        </w:rPr>
      </w:pPr>
    </w:p>
    <w:p w:rsidR="0031790D" w:rsidRDefault="00556827">
      <w:pPr>
        <w:jc w:val="center"/>
        <w:rPr>
          <w:b/>
          <w:bCs/>
          <w:spacing w:val="2"/>
          <w:sz w:val="26"/>
          <w:szCs w:val="26"/>
          <w:highlight w:val="white"/>
        </w:rPr>
      </w:pPr>
      <w:r>
        <w:rPr>
          <w:b/>
          <w:bCs/>
          <w:spacing w:val="2"/>
          <w:sz w:val="26"/>
          <w:szCs w:val="26"/>
          <w:highlight w:val="white"/>
        </w:rPr>
        <w:t>Раздел 4. Прогнозная (справочная) оценка объемов  привлечения средств облас</w:t>
      </w:r>
      <w:r>
        <w:rPr>
          <w:b/>
          <w:bCs/>
          <w:spacing w:val="2"/>
          <w:sz w:val="26"/>
          <w:szCs w:val="26"/>
          <w:highlight w:val="white"/>
        </w:rPr>
        <w:t>т</w:t>
      </w:r>
      <w:r>
        <w:rPr>
          <w:b/>
          <w:bCs/>
          <w:spacing w:val="2"/>
          <w:sz w:val="26"/>
          <w:szCs w:val="26"/>
          <w:highlight w:val="white"/>
        </w:rPr>
        <w:t xml:space="preserve">ного бюджета, бюджетов поселений района, организаций для реализации </w:t>
      </w:r>
    </w:p>
    <w:p w:rsidR="0031790D" w:rsidRDefault="00556827">
      <w:pPr>
        <w:jc w:val="center"/>
        <w:rPr>
          <w:b/>
          <w:bCs/>
          <w:spacing w:val="2"/>
          <w:sz w:val="26"/>
          <w:szCs w:val="26"/>
          <w:highlight w:val="white"/>
        </w:rPr>
      </w:pPr>
      <w:r>
        <w:rPr>
          <w:b/>
          <w:bCs/>
          <w:spacing w:val="2"/>
          <w:sz w:val="26"/>
          <w:szCs w:val="26"/>
          <w:highlight w:val="white"/>
        </w:rPr>
        <w:t>муниципальной программы.</w:t>
      </w:r>
    </w:p>
    <w:p w:rsidR="0031790D" w:rsidRDefault="0031790D">
      <w:pPr>
        <w:jc w:val="center"/>
        <w:rPr>
          <w:b/>
          <w:bCs/>
          <w:spacing w:val="2"/>
          <w:sz w:val="26"/>
          <w:szCs w:val="26"/>
          <w:highlight w:val="white"/>
        </w:rPr>
      </w:pPr>
    </w:p>
    <w:p w:rsidR="0031790D" w:rsidRDefault="00556827">
      <w:pPr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 </w:t>
      </w:r>
      <w:r>
        <w:rPr>
          <w:spacing w:val="2"/>
          <w:sz w:val="26"/>
          <w:szCs w:val="26"/>
          <w:highlight w:val="white"/>
        </w:rPr>
        <w:tab/>
        <w:t>Сведения о прогнозной (справочной) оценке  объемов  привлечения средств о</w:t>
      </w:r>
      <w:r>
        <w:rPr>
          <w:spacing w:val="2"/>
          <w:sz w:val="26"/>
          <w:szCs w:val="26"/>
          <w:highlight w:val="white"/>
        </w:rPr>
        <w:t>б</w:t>
      </w:r>
      <w:r>
        <w:rPr>
          <w:spacing w:val="2"/>
          <w:sz w:val="26"/>
          <w:szCs w:val="26"/>
          <w:highlight w:val="white"/>
        </w:rPr>
        <w:t>ластного бюджета, бюджетов поселений района, организаций в том числе организаций с государственным и муниципальным участием, общественных, научных и иных орг</w:t>
      </w:r>
      <w:r>
        <w:rPr>
          <w:spacing w:val="2"/>
          <w:sz w:val="26"/>
          <w:szCs w:val="26"/>
          <w:highlight w:val="white"/>
        </w:rPr>
        <w:t>а</w:t>
      </w:r>
      <w:r>
        <w:rPr>
          <w:spacing w:val="2"/>
          <w:sz w:val="26"/>
          <w:szCs w:val="26"/>
          <w:highlight w:val="white"/>
        </w:rPr>
        <w:t>низаций, а также внебюджетных фондов, представлены в Приложении 4  к муниц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пальной программе.</w:t>
      </w:r>
    </w:p>
    <w:p w:rsidR="0031790D" w:rsidRDefault="0031790D">
      <w:pPr>
        <w:jc w:val="both"/>
        <w:rPr>
          <w:spacing w:val="2"/>
          <w:sz w:val="26"/>
          <w:szCs w:val="26"/>
          <w:highlight w:val="white"/>
        </w:rPr>
      </w:pPr>
    </w:p>
    <w:p w:rsidR="0031790D" w:rsidRDefault="00556827">
      <w:pPr>
        <w:ind w:firstLine="708"/>
        <w:jc w:val="center"/>
        <w:rPr>
          <w:b/>
          <w:bCs/>
          <w:spacing w:val="2"/>
          <w:sz w:val="26"/>
          <w:szCs w:val="26"/>
          <w:highlight w:val="white"/>
        </w:rPr>
      </w:pPr>
      <w:r>
        <w:rPr>
          <w:b/>
          <w:bCs/>
          <w:spacing w:val="2"/>
          <w:sz w:val="26"/>
          <w:szCs w:val="26"/>
          <w:highlight w:val="white"/>
        </w:rPr>
        <w:t>Раздел 5. Общая характеристика мероприятий муниципальной Программы.</w:t>
      </w:r>
    </w:p>
    <w:p w:rsidR="0031790D" w:rsidRDefault="0031790D">
      <w:pPr>
        <w:ind w:firstLine="708"/>
        <w:jc w:val="center"/>
        <w:rPr>
          <w:b/>
          <w:bCs/>
          <w:spacing w:val="2"/>
          <w:sz w:val="26"/>
          <w:szCs w:val="26"/>
          <w:highlight w:val="white"/>
        </w:rPr>
      </w:pP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</w:t>
      </w:r>
      <w:r>
        <w:rPr>
          <w:spacing w:val="2"/>
          <w:sz w:val="26"/>
          <w:szCs w:val="26"/>
          <w:highlight w:val="white"/>
        </w:rPr>
        <w:tab/>
        <w:t>Для достижения целей и решения задач муниципальной программы, необходимо реализовать ряд основных мероприятий: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</w:t>
      </w:r>
      <w:r>
        <w:rPr>
          <w:spacing w:val="2"/>
          <w:sz w:val="26"/>
          <w:szCs w:val="26"/>
          <w:highlight w:val="white"/>
        </w:rPr>
        <w:tab/>
        <w:t>Основное мероприятие 1: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</w:t>
      </w:r>
      <w:r>
        <w:rPr>
          <w:spacing w:val="2"/>
          <w:sz w:val="26"/>
          <w:szCs w:val="26"/>
          <w:highlight w:val="white"/>
        </w:rPr>
        <w:tab/>
        <w:t xml:space="preserve"> - предоставление жилья медицинским работникам;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>В рамках мероприятия 1 осуществляется приобретение жилья (капитальный ремонт жилья) для предоставления медицинским работникам (врачам, фельдшерам, медици</w:t>
      </w:r>
      <w:r>
        <w:rPr>
          <w:spacing w:val="2"/>
          <w:sz w:val="26"/>
          <w:szCs w:val="26"/>
          <w:highlight w:val="white"/>
        </w:rPr>
        <w:t>н</w:t>
      </w:r>
      <w:r>
        <w:rPr>
          <w:spacing w:val="2"/>
          <w:sz w:val="26"/>
          <w:szCs w:val="26"/>
          <w:highlight w:val="white"/>
        </w:rPr>
        <w:t>ским сестрам), приехавшим из других регионов, молодым специалистам после оконч</w:t>
      </w:r>
      <w:r>
        <w:rPr>
          <w:spacing w:val="2"/>
          <w:sz w:val="26"/>
          <w:szCs w:val="26"/>
          <w:highlight w:val="white"/>
        </w:rPr>
        <w:t>а</w:t>
      </w:r>
      <w:r>
        <w:rPr>
          <w:spacing w:val="2"/>
          <w:sz w:val="26"/>
          <w:szCs w:val="26"/>
          <w:highlight w:val="white"/>
        </w:rPr>
        <w:t>ния медицинских ВУЗов, работающих в БУЗ ВО «Никольская ЦРБ»;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ab/>
        <w:t>Основное мероприятие 2: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lastRenderedPageBreak/>
        <w:t xml:space="preserve"> </w:t>
      </w:r>
      <w:r>
        <w:rPr>
          <w:spacing w:val="2"/>
          <w:sz w:val="26"/>
          <w:szCs w:val="26"/>
          <w:highlight w:val="white"/>
        </w:rPr>
        <w:tab/>
        <w:t xml:space="preserve"> - оказание социальной поддержки студентам, специалистам  сферы здравоохр</w:t>
      </w:r>
      <w:r>
        <w:rPr>
          <w:spacing w:val="2"/>
          <w:sz w:val="26"/>
          <w:szCs w:val="26"/>
          <w:highlight w:val="white"/>
        </w:rPr>
        <w:t>а</w:t>
      </w:r>
      <w:r>
        <w:rPr>
          <w:spacing w:val="2"/>
          <w:sz w:val="26"/>
          <w:szCs w:val="26"/>
          <w:highlight w:val="white"/>
        </w:rPr>
        <w:t>нения;</w:t>
      </w: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ab/>
        <w:t>В рамках мероприятия 2 студентам высших медицинских заведений и студентам  средних медицинских учреждений, врачам-ординаторам  выплачивается ежемесячная стипендия (за счет средств районного бюджета) и ежемесячная денежная выплата (за счет средств БУЗ ВО «Никольская ЦРБ»)  в период обучения в учебном заведении п</w:t>
      </w:r>
      <w:r>
        <w:rPr>
          <w:spacing w:val="2"/>
          <w:sz w:val="26"/>
          <w:szCs w:val="26"/>
          <w:highlight w:val="white"/>
        </w:rPr>
        <w:t>о</w:t>
      </w:r>
      <w:r>
        <w:rPr>
          <w:spacing w:val="2"/>
          <w:sz w:val="26"/>
          <w:szCs w:val="26"/>
          <w:highlight w:val="white"/>
        </w:rPr>
        <w:t>сле заключения договора с Администрацией Никольского муниципального района, где указано, что после обучения специалист должен отработать определенное количество лет в БУЗ ВО «Никольская ЦРБ». Предоставляется оплата обучения одного  врача-ординатора в год. Осуществляется компенсация по  переезду специалистам сферы здравоохранения из других регионов, специалистам закончившим медицинские ВУЗы, училища, колледжи при обязательном заключении договора с БУЗ ВО «Никольская ЦРБ» сроком  не менее 5 лет. Компенсация предоставляется на основании заявления и  документов подтверждающие расходы. Предоставляется компенсация расходов мед</w:t>
      </w:r>
      <w:r>
        <w:rPr>
          <w:spacing w:val="2"/>
          <w:sz w:val="26"/>
          <w:szCs w:val="26"/>
          <w:highlight w:val="white"/>
        </w:rPr>
        <w:t>и</w:t>
      </w:r>
      <w:r>
        <w:rPr>
          <w:spacing w:val="2"/>
          <w:sz w:val="26"/>
          <w:szCs w:val="26"/>
          <w:highlight w:val="white"/>
        </w:rPr>
        <w:t>цинскому персоналу (врачам, фельдшерам, медицинским сестрам), работающих</w:t>
      </w:r>
    </w:p>
    <w:p w:rsidR="0031790D" w:rsidRDefault="0031790D">
      <w:pPr>
        <w:rPr>
          <w:spacing w:val="2"/>
          <w:sz w:val="26"/>
          <w:szCs w:val="26"/>
          <w:highlight w:val="white"/>
        </w:rPr>
      </w:pPr>
    </w:p>
    <w:p w:rsidR="0031790D" w:rsidRDefault="00556827">
      <w:pPr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 xml:space="preserve"> в сельской местности и в БУЗ ВО «Никольская ЦРБ» по договору найма жилого п</w:t>
      </w:r>
      <w:r>
        <w:rPr>
          <w:spacing w:val="2"/>
          <w:sz w:val="26"/>
          <w:szCs w:val="26"/>
          <w:highlight w:val="white"/>
        </w:rPr>
        <w:t>о</w:t>
      </w:r>
      <w:r>
        <w:rPr>
          <w:spacing w:val="2"/>
          <w:sz w:val="26"/>
          <w:szCs w:val="26"/>
          <w:highlight w:val="white"/>
        </w:rPr>
        <w:t xml:space="preserve">мещения. </w:t>
      </w:r>
    </w:p>
    <w:p w:rsidR="0031790D" w:rsidRDefault="00556827">
      <w:pPr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highlight w:val="white"/>
        </w:rPr>
        <w:tab/>
      </w:r>
    </w:p>
    <w:p w:rsidR="0031790D" w:rsidRDefault="0031790D">
      <w:pPr>
        <w:jc w:val="center"/>
      </w:pPr>
    </w:p>
    <w:p w:rsidR="0031790D" w:rsidRDefault="0031790D">
      <w:pPr>
        <w:rPr>
          <w:sz w:val="26"/>
          <w:szCs w:val="26"/>
        </w:rPr>
      </w:pPr>
    </w:p>
    <w:p w:rsidR="0031790D" w:rsidRDefault="005568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6. Информация об участии в реализации муниципальной программы орг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низаций, в том числе организаций с государственным и муниципальным участием, общественных, научных и иных организаций внебюджетных фондов</w:t>
      </w:r>
    </w:p>
    <w:p w:rsidR="0031790D" w:rsidRDefault="0031790D">
      <w:pPr>
        <w:jc w:val="center"/>
        <w:rPr>
          <w:bCs/>
          <w:sz w:val="26"/>
          <w:szCs w:val="26"/>
        </w:rPr>
      </w:pPr>
    </w:p>
    <w:p w:rsidR="0031790D" w:rsidRDefault="00556827">
      <w:pPr>
        <w:rPr>
          <w:sz w:val="26"/>
          <w:szCs w:val="26"/>
        </w:rPr>
      </w:pPr>
      <w:r>
        <w:rPr>
          <w:sz w:val="26"/>
          <w:szCs w:val="26"/>
        </w:rPr>
        <w:t xml:space="preserve">    В реализации программы участие организации с государственным и муниципальным участием, общественных, научных и иных организаций внебюджетных фондов не предусмотрено.</w:t>
      </w:r>
    </w:p>
    <w:p w:rsidR="0031790D" w:rsidRDefault="0031790D">
      <w:pPr>
        <w:jc w:val="both"/>
        <w:rPr>
          <w:sz w:val="26"/>
          <w:szCs w:val="26"/>
        </w:rPr>
      </w:pPr>
    </w:p>
    <w:p w:rsidR="0031790D" w:rsidRDefault="005568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7. Сведения об участии органов местного самоуправления поселений мун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ципального района в реализации муниципальной программы </w:t>
      </w:r>
    </w:p>
    <w:p w:rsidR="0031790D" w:rsidRDefault="0031790D">
      <w:pPr>
        <w:jc w:val="center"/>
        <w:rPr>
          <w:bCs/>
          <w:sz w:val="26"/>
          <w:szCs w:val="26"/>
        </w:rPr>
      </w:pPr>
    </w:p>
    <w:p w:rsidR="0031790D" w:rsidRDefault="00556827">
      <w:pPr>
        <w:rPr>
          <w:sz w:val="26"/>
          <w:szCs w:val="26"/>
        </w:rPr>
      </w:pPr>
      <w:r>
        <w:rPr>
          <w:sz w:val="26"/>
          <w:szCs w:val="26"/>
        </w:rPr>
        <w:t xml:space="preserve">  Участие поселений муниципального района в реализации муниципальной программы  не предусмотрено.</w:t>
      </w:r>
    </w:p>
    <w:p w:rsidR="0031790D" w:rsidRDefault="0031790D">
      <w:pPr>
        <w:shd w:val="clear" w:color="auto" w:fill="FFFFFF"/>
        <w:tabs>
          <w:tab w:val="left" w:pos="929"/>
        </w:tabs>
        <w:ind w:left="7" w:firstLine="545"/>
        <w:jc w:val="center"/>
        <w:rPr>
          <w:b/>
          <w:bCs/>
          <w:spacing w:val="2"/>
          <w:sz w:val="26"/>
          <w:szCs w:val="26"/>
          <w:highlight w:val="white"/>
        </w:rPr>
      </w:pPr>
    </w:p>
    <w:p w:rsidR="0031790D" w:rsidRDefault="0031790D">
      <w:pPr>
        <w:shd w:val="clear" w:color="auto" w:fill="FFFFFF"/>
        <w:tabs>
          <w:tab w:val="left" w:pos="929"/>
        </w:tabs>
        <w:ind w:left="7" w:firstLine="545"/>
        <w:jc w:val="center"/>
        <w:rPr>
          <w:b/>
          <w:bCs/>
          <w:color w:val="000000"/>
          <w:spacing w:val="2"/>
          <w:sz w:val="26"/>
          <w:szCs w:val="26"/>
          <w:highlight w:val="white"/>
        </w:rPr>
        <w:sectPr w:rsidR="0031790D">
          <w:pgSz w:w="11906" w:h="16838"/>
          <w:pgMar w:top="709" w:right="424" w:bottom="360" w:left="1560" w:header="0" w:footer="0" w:gutter="0"/>
          <w:cols w:space="720"/>
          <w:formProt w:val="0"/>
          <w:docGrid w:linePitch="360" w:charSpace="2047"/>
        </w:sectPr>
      </w:pPr>
    </w:p>
    <w:p w:rsidR="0031790D" w:rsidRDefault="00556827">
      <w:pPr>
        <w:shd w:val="clear" w:color="auto" w:fill="FFFFFF"/>
        <w:tabs>
          <w:tab w:val="left" w:pos="929"/>
        </w:tabs>
        <w:spacing w:line="322" w:lineRule="exact"/>
        <w:ind w:left="7" w:firstLine="545"/>
        <w:jc w:val="right"/>
      </w:pPr>
      <w:r>
        <w:rPr>
          <w:b/>
          <w:bCs/>
          <w:i/>
          <w:i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</w:t>
      </w:r>
      <w:r>
        <w:t xml:space="preserve">Приложение 1 </w:t>
      </w:r>
    </w:p>
    <w:p w:rsidR="0031790D" w:rsidRDefault="00556827">
      <w:pPr>
        <w:shd w:val="clear" w:color="auto" w:fill="FFFFFF"/>
        <w:tabs>
          <w:tab w:val="left" w:pos="929"/>
        </w:tabs>
        <w:spacing w:line="322" w:lineRule="exact"/>
        <w:ind w:left="7" w:firstLine="545"/>
        <w:jc w:val="right"/>
      </w:pPr>
      <w:r>
        <w:t>к муниципальной программе</w:t>
      </w:r>
    </w:p>
    <w:p w:rsidR="0031790D" w:rsidRDefault="00556827">
      <w:pPr>
        <w:jc w:val="center"/>
      </w:pPr>
      <w:r>
        <w:rPr>
          <w:b/>
        </w:rPr>
        <w:br/>
      </w:r>
      <w:r>
        <w:rPr>
          <w:b/>
          <w:caps/>
          <w:sz w:val="26"/>
          <w:szCs w:val="26"/>
        </w:rPr>
        <w:t xml:space="preserve">Сведения </w:t>
      </w:r>
    </w:p>
    <w:p w:rsidR="0031790D" w:rsidRDefault="00556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целевых показателях (индикаторах) муниципальной программы </w:t>
      </w:r>
    </w:p>
    <w:tbl>
      <w:tblPr>
        <w:tblW w:w="16125" w:type="dxa"/>
        <w:tblInd w:w="-783" w:type="dxa"/>
        <w:tblBorders>
          <w:top w:val="single" w:sz="8" w:space="0" w:color="000001"/>
          <w:left w:val="single" w:sz="8" w:space="0" w:color="000001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152"/>
        <w:gridCol w:w="2308"/>
        <w:gridCol w:w="1296"/>
        <w:gridCol w:w="1182"/>
        <w:gridCol w:w="1389"/>
        <w:gridCol w:w="1194"/>
        <w:gridCol w:w="1089"/>
        <w:gridCol w:w="1194"/>
        <w:gridCol w:w="1206"/>
        <w:gridCol w:w="1152"/>
        <w:gridCol w:w="1462"/>
      </w:tblGrid>
      <w:tr w:rsidR="0031790D">
        <w:trPr>
          <w:cantSplit/>
        </w:trPr>
        <w:tc>
          <w:tcPr>
            <w:tcW w:w="5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Задача,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ленная</w:t>
            </w:r>
          </w:p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достижение цели</w:t>
            </w:r>
          </w:p>
        </w:tc>
        <w:tc>
          <w:tcPr>
            <w:tcW w:w="214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левого </w:t>
            </w:r>
          </w:p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показателя</w:t>
            </w:r>
          </w:p>
          <w:p w:rsidR="0031790D" w:rsidRDefault="00317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31790D" w:rsidRDefault="00556827">
            <w:pPr>
              <w:jc w:val="center"/>
            </w:pPr>
            <w:r>
              <w:rPr>
                <w:sz w:val="26"/>
                <w:szCs w:val="26"/>
              </w:rPr>
              <w:t xml:space="preserve"> измер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1125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целевого показателя </w:t>
            </w:r>
          </w:p>
        </w:tc>
      </w:tr>
      <w:tr w:rsidR="0031790D">
        <w:trPr>
          <w:cantSplit/>
        </w:trPr>
        <w:tc>
          <w:tcPr>
            <w:tcW w:w="509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2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144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795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Отчетное</w:t>
            </w:r>
          </w:p>
          <w:p w:rsidR="0031790D" w:rsidRDefault="0031790D">
            <w:pPr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оценочное</w:t>
            </w:r>
          </w:p>
        </w:tc>
        <w:tc>
          <w:tcPr>
            <w:tcW w:w="864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</w:t>
            </w:r>
          </w:p>
        </w:tc>
      </w:tr>
      <w:tr w:rsidR="0031790D">
        <w:trPr>
          <w:cantSplit/>
        </w:trPr>
        <w:tc>
          <w:tcPr>
            <w:tcW w:w="5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 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31790D">
        <w:trPr>
          <w:trHeight w:val="650"/>
        </w:trPr>
        <w:tc>
          <w:tcPr>
            <w:tcW w:w="5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1790D" w:rsidRDefault="0031790D">
            <w:pPr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1790D">
        <w:trPr>
          <w:cantSplit/>
          <w:trHeight w:val="736"/>
        </w:trPr>
        <w:tc>
          <w:tcPr>
            <w:tcW w:w="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Задача 1</w:t>
            </w:r>
          </w:p>
          <w:p w:rsidR="0031790D" w:rsidRDefault="00556827">
            <w:r>
              <w:rPr>
                <w:iCs/>
                <w:spacing w:val="2"/>
                <w:sz w:val="26"/>
                <w:szCs w:val="26"/>
                <w:highlight w:val="white"/>
              </w:rPr>
              <w:t>- Обеспечение здравоохранения медицинскими кадрами в  соо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т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ветствии с п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о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требностью нас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е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ления в кач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е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ственной мед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и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 xml:space="preserve">цинской помощи </w:t>
            </w: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</w:p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pStyle w:val="ac"/>
              <w:snapToGrid w:val="0"/>
              <w:rPr>
                <w:iCs/>
                <w:spacing w:val="2"/>
                <w:sz w:val="26"/>
                <w:szCs w:val="26"/>
                <w:highlight w:val="white"/>
              </w:rPr>
            </w:pPr>
          </w:p>
          <w:p w:rsidR="0031790D" w:rsidRDefault="00556827">
            <w:pPr>
              <w:pStyle w:val="ac"/>
              <w:rPr>
                <w:i/>
                <w:iCs/>
                <w:spacing w:val="2"/>
                <w:sz w:val="26"/>
                <w:szCs w:val="26"/>
                <w:highlight w:val="white"/>
              </w:rPr>
            </w:pPr>
            <w:r>
              <w:rPr>
                <w:i/>
                <w:iCs/>
                <w:spacing w:val="2"/>
                <w:sz w:val="26"/>
                <w:szCs w:val="26"/>
                <w:highlight w:val="white"/>
              </w:rPr>
              <w:t>Целевой показа тель 1</w:t>
            </w:r>
          </w:p>
          <w:p w:rsidR="0031790D" w:rsidRDefault="00556827">
            <w:pPr>
              <w:rPr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Cs/>
                <w:spacing w:val="2"/>
                <w:sz w:val="24"/>
                <w:szCs w:val="24"/>
                <w:highlight w:val="white"/>
              </w:rPr>
              <w:t>Смертность от б</w:t>
            </w:r>
            <w:r>
              <w:rPr>
                <w:iCs/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iCs/>
                <w:spacing w:val="2"/>
                <w:sz w:val="24"/>
                <w:szCs w:val="24"/>
                <w:highlight w:val="white"/>
              </w:rPr>
              <w:t>лезней системы кровообращения, случаев на 100 тыс. населения;</w:t>
            </w:r>
          </w:p>
          <w:p w:rsidR="0031790D" w:rsidRDefault="0031790D">
            <w:pPr>
              <w:rPr>
                <w:b/>
                <w:bCs/>
                <w:iCs/>
                <w:spacing w:val="2"/>
                <w:sz w:val="26"/>
                <w:szCs w:val="26"/>
                <w:highlight w:val="white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790D" w:rsidRDefault="003179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844,3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842,6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821,7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817,6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812,7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811,9</w:t>
            </w:r>
          </w:p>
        </w:tc>
      </w:tr>
      <w:tr w:rsidR="0031790D">
        <w:trPr>
          <w:cantSplit/>
        </w:trPr>
        <w:tc>
          <w:tcPr>
            <w:tcW w:w="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pStyle w:val="ac"/>
              <w:snapToGrid w:val="0"/>
              <w:rPr>
                <w:i/>
                <w:iCs/>
                <w:color w:val="000000"/>
                <w:spacing w:val="2"/>
                <w:sz w:val="26"/>
                <w:szCs w:val="26"/>
                <w:highlight w:val="white"/>
              </w:rPr>
            </w:pPr>
            <w:r>
              <w:rPr>
                <w:i/>
                <w:iCs/>
                <w:color w:val="000000"/>
                <w:spacing w:val="2"/>
                <w:sz w:val="26"/>
                <w:szCs w:val="26"/>
                <w:highlight w:val="white"/>
              </w:rPr>
              <w:t>Целевой показ</w:t>
            </w:r>
            <w:r>
              <w:rPr>
                <w:i/>
                <w:iCs/>
                <w:color w:val="000000"/>
                <w:spacing w:val="2"/>
                <w:sz w:val="26"/>
                <w:szCs w:val="26"/>
                <w:highlight w:val="white"/>
              </w:rPr>
              <w:t>а</w:t>
            </w:r>
            <w:r>
              <w:rPr>
                <w:i/>
                <w:iCs/>
                <w:color w:val="000000"/>
                <w:spacing w:val="2"/>
                <w:sz w:val="26"/>
                <w:szCs w:val="26"/>
                <w:highlight w:val="white"/>
              </w:rPr>
              <w:t>тель 2</w:t>
            </w:r>
          </w:p>
          <w:p w:rsidR="0031790D" w:rsidRDefault="00556827">
            <w:pP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Смертность от н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вообразований, сл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у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чаев на 100 тыс. населения;</w:t>
            </w:r>
          </w:p>
          <w:p w:rsidR="0031790D" w:rsidRDefault="0031790D">
            <w:pPr>
              <w:pStyle w:val="ac"/>
              <w:rPr>
                <w:iCs/>
                <w:color w:val="000000"/>
                <w:spacing w:val="2"/>
                <w:sz w:val="26"/>
                <w:szCs w:val="26"/>
                <w:highlight w:val="white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215,1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211,9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205,6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</w:t>
            </w:r>
          </w:p>
        </w:tc>
      </w:tr>
      <w:tr w:rsidR="0031790D">
        <w:trPr>
          <w:cantSplit/>
        </w:trPr>
        <w:tc>
          <w:tcPr>
            <w:tcW w:w="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Целевой показатель 3</w:t>
            </w:r>
          </w:p>
          <w:p w:rsidR="0031790D" w:rsidRDefault="00556827">
            <w:pPr>
              <w:snapToGrid w:val="0"/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Смертность от т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у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беркулеза, случаев на 100 тыс. насел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е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31790D">
        <w:trPr>
          <w:cantSplit/>
        </w:trPr>
        <w:tc>
          <w:tcPr>
            <w:tcW w:w="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Целевой показатель 4</w:t>
            </w:r>
          </w:p>
          <w:p w:rsidR="0031790D" w:rsidRDefault="00556827">
            <w:pPr>
              <w:snapToGrid w:val="0"/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Охват диспансер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и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зацией определе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н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ных групп взрослого населения, %</w:t>
            </w:r>
          </w:p>
          <w:p w:rsidR="0031790D" w:rsidRDefault="0031790D">
            <w:pPr>
              <w:snapToGrid w:val="0"/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</w:pPr>
          </w:p>
          <w:p w:rsidR="0031790D" w:rsidRDefault="0031790D">
            <w:pPr>
              <w:snapToGrid w:val="0"/>
              <w:rPr>
                <w:b/>
                <w:bCs/>
                <w:iCs/>
                <w:color w:val="000000"/>
                <w:spacing w:val="2"/>
                <w:sz w:val="24"/>
                <w:szCs w:val="24"/>
                <w:highlight w:val="white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31790D">
        <w:trPr>
          <w:trHeight w:val="1315"/>
        </w:trPr>
        <w:tc>
          <w:tcPr>
            <w:tcW w:w="50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2 </w:t>
            </w:r>
          </w:p>
          <w:p w:rsidR="0031790D" w:rsidRDefault="00556827">
            <w:pPr>
              <w:snapToGrid w:val="0"/>
            </w:pPr>
            <w:r>
              <w:rPr>
                <w:iCs/>
                <w:spacing w:val="2"/>
                <w:sz w:val="26"/>
                <w:szCs w:val="26"/>
                <w:highlight w:val="white"/>
              </w:rPr>
              <w:t>Создание усл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о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вий для закре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п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ления специал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и</w:t>
            </w:r>
            <w:r>
              <w:rPr>
                <w:iCs/>
                <w:spacing w:val="2"/>
                <w:sz w:val="26"/>
                <w:szCs w:val="26"/>
                <w:highlight w:val="white"/>
              </w:rPr>
              <w:t>стов в сельской местности</w:t>
            </w:r>
            <w:r>
              <w:rPr>
                <w:b/>
                <w:bCs/>
                <w:iCs/>
                <w:spacing w:val="2"/>
                <w:sz w:val="26"/>
                <w:szCs w:val="26"/>
                <w:highlight w:val="white"/>
              </w:rPr>
              <w:t xml:space="preserve"> </w:t>
            </w:r>
          </w:p>
          <w:p w:rsidR="0031790D" w:rsidRDefault="00556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1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pStyle w:val="ac"/>
              <w:snapToGrid w:val="0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Целевой показатель 5</w:t>
            </w:r>
          </w:p>
          <w:p w:rsidR="0031790D" w:rsidRDefault="00556827">
            <w:pPr>
              <w:snapToGrid w:val="0"/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Уровень</w:t>
            </w:r>
          </w:p>
          <w:p w:rsidR="0031790D" w:rsidRDefault="00556827">
            <w:pPr>
              <w:snapToGrid w:val="0"/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 xml:space="preserve"> укомплектованн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сти врачами мед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и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цинских учрежд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е</w:t>
            </w:r>
            <w:r>
              <w:rPr>
                <w:iCs/>
                <w:color w:val="000000"/>
                <w:spacing w:val="2"/>
                <w:sz w:val="24"/>
                <w:szCs w:val="24"/>
                <w:highlight w:val="white"/>
              </w:rPr>
              <w:t>ний, %</w:t>
            </w:r>
          </w:p>
        </w:tc>
        <w:tc>
          <w:tcPr>
            <w:tcW w:w="7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4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2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4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3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78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31790D">
        <w:trPr>
          <w:cantSplit/>
          <w:trHeight w:val="2159"/>
        </w:trPr>
        <w:tc>
          <w:tcPr>
            <w:tcW w:w="50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b/>
                <w:bCs/>
                <w:spacing w:val="2"/>
                <w:sz w:val="26"/>
                <w:szCs w:val="26"/>
                <w:highlight w:val="white"/>
              </w:rPr>
            </w:pPr>
            <w:r>
              <w:rPr>
                <w:b/>
                <w:bCs/>
                <w:spacing w:val="2"/>
                <w:sz w:val="26"/>
                <w:szCs w:val="26"/>
                <w:highlight w:val="white"/>
              </w:rPr>
              <w:t>Задача 3</w:t>
            </w:r>
          </w:p>
          <w:p w:rsidR="0031790D" w:rsidRDefault="00556827">
            <w:r>
              <w:rPr>
                <w:spacing w:val="2"/>
                <w:sz w:val="26"/>
                <w:szCs w:val="26"/>
                <w:highlight w:val="white"/>
              </w:rPr>
              <w:t>Использование возможностей межрегиональной трудовой мигр</w:t>
            </w:r>
            <w:r>
              <w:rPr>
                <w:spacing w:val="2"/>
                <w:sz w:val="26"/>
                <w:szCs w:val="26"/>
                <w:highlight w:val="white"/>
              </w:rPr>
              <w:t>а</w:t>
            </w:r>
            <w:r>
              <w:rPr>
                <w:spacing w:val="2"/>
                <w:sz w:val="26"/>
                <w:szCs w:val="26"/>
                <w:highlight w:val="white"/>
              </w:rPr>
              <w:t>ции. Разработка и реализация ко</w:t>
            </w:r>
            <w:r>
              <w:rPr>
                <w:spacing w:val="2"/>
                <w:sz w:val="26"/>
                <w:szCs w:val="26"/>
                <w:highlight w:val="white"/>
              </w:rPr>
              <w:t>м</w:t>
            </w:r>
            <w:r>
              <w:rPr>
                <w:spacing w:val="2"/>
                <w:sz w:val="26"/>
                <w:szCs w:val="26"/>
                <w:highlight w:val="white"/>
              </w:rPr>
              <w:t>плекса меропри</w:t>
            </w:r>
            <w:r>
              <w:rPr>
                <w:spacing w:val="2"/>
                <w:sz w:val="26"/>
                <w:szCs w:val="26"/>
                <w:highlight w:val="white"/>
              </w:rPr>
              <w:t>я</w:t>
            </w:r>
            <w:r>
              <w:rPr>
                <w:spacing w:val="2"/>
                <w:sz w:val="26"/>
                <w:szCs w:val="26"/>
                <w:highlight w:val="white"/>
              </w:rPr>
              <w:t>тий по соде</w:t>
            </w:r>
            <w:r>
              <w:rPr>
                <w:spacing w:val="2"/>
                <w:sz w:val="26"/>
                <w:szCs w:val="26"/>
                <w:highlight w:val="white"/>
              </w:rPr>
              <w:t>й</w:t>
            </w:r>
            <w:r>
              <w:rPr>
                <w:spacing w:val="2"/>
                <w:sz w:val="26"/>
                <w:szCs w:val="26"/>
                <w:highlight w:val="white"/>
              </w:rPr>
              <w:t>ствию внешней трудовой мигр</w:t>
            </w:r>
            <w:r>
              <w:rPr>
                <w:spacing w:val="2"/>
                <w:sz w:val="26"/>
                <w:szCs w:val="26"/>
                <w:highlight w:val="white"/>
              </w:rPr>
              <w:t>а</w:t>
            </w:r>
            <w:r>
              <w:rPr>
                <w:spacing w:val="2"/>
                <w:sz w:val="26"/>
                <w:szCs w:val="26"/>
                <w:highlight w:val="white"/>
              </w:rPr>
              <w:t xml:space="preserve">ции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7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1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2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3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78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</w:tr>
    </w:tbl>
    <w:p w:rsidR="0031790D" w:rsidRDefault="00556827">
      <w:pPr>
        <w:ind w:firstLine="709"/>
        <w:jc w:val="right"/>
      </w:pPr>
      <w:r>
        <w:br w:type="page"/>
      </w:r>
    </w:p>
    <w:p w:rsidR="0031790D" w:rsidRDefault="0055682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31790D" w:rsidRDefault="0055682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31790D" w:rsidRDefault="0031790D">
      <w:pPr>
        <w:tabs>
          <w:tab w:val="left" w:pos="2280"/>
        </w:tabs>
        <w:jc w:val="center"/>
        <w:rPr>
          <w:b/>
          <w:caps/>
          <w:sz w:val="26"/>
          <w:szCs w:val="26"/>
        </w:rPr>
      </w:pPr>
    </w:p>
    <w:p w:rsidR="0031790D" w:rsidRDefault="00556827">
      <w:pPr>
        <w:tabs>
          <w:tab w:val="left" w:pos="2280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Сведения</w:t>
      </w:r>
    </w:p>
    <w:p w:rsidR="0031790D" w:rsidRDefault="00556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сбора информации и методике расчета целевых показателей</w:t>
      </w:r>
    </w:p>
    <w:p w:rsidR="0031790D" w:rsidRDefault="00556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31790D" w:rsidRDefault="0031790D">
      <w:pPr>
        <w:ind w:firstLine="540"/>
        <w:jc w:val="both"/>
        <w:rPr>
          <w:rFonts w:cs="Calibri"/>
          <w:sz w:val="24"/>
          <w:szCs w:val="24"/>
        </w:rPr>
      </w:pPr>
    </w:p>
    <w:tbl>
      <w:tblPr>
        <w:tblW w:w="16275" w:type="dxa"/>
        <w:tblInd w:w="-8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2377"/>
        <w:gridCol w:w="566"/>
        <w:gridCol w:w="2341"/>
        <w:gridCol w:w="1300"/>
        <w:gridCol w:w="2272"/>
        <w:gridCol w:w="1989"/>
        <w:gridCol w:w="1487"/>
        <w:gridCol w:w="1505"/>
        <w:gridCol w:w="1379"/>
        <w:gridCol w:w="1711"/>
      </w:tblGrid>
      <w:tr w:rsidR="0031790D">
        <w:trPr>
          <w:trHeight w:val="960"/>
        </w:trPr>
        <w:tc>
          <w:tcPr>
            <w:tcW w:w="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целевого показателя 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целевого показателя </w:t>
            </w:r>
          </w:p>
          <w:p w:rsidR="0031790D" w:rsidRDefault="005C1B16">
            <w:pPr>
              <w:jc w:val="center"/>
            </w:pPr>
            <w:hyperlink r:id="rId7" w:anchor="Par1021" w:history="1">
              <w:r w:rsidR="00556827">
                <w:rPr>
                  <w:rStyle w:val="-"/>
                  <w:i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характе-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ристики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целевого показателя </w:t>
            </w:r>
          </w:p>
          <w:p w:rsidR="0031790D" w:rsidRDefault="005C1B16">
            <w:pPr>
              <w:jc w:val="center"/>
            </w:pPr>
            <w:hyperlink r:id="rId8" w:anchor="Par1022" w:history="1">
              <w:r w:rsidR="00556827">
                <w:rPr>
                  <w:rStyle w:val="-"/>
                  <w:i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(формула) и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к</w:t>
            </w:r>
          </w:p>
          <w:p w:rsidR="0031790D" w:rsidRDefault="00556827">
            <w:pPr>
              <w:jc w:val="center"/>
            </w:pPr>
            <w:r>
              <w:rPr>
                <w:sz w:val="24"/>
                <w:szCs w:val="24"/>
              </w:rPr>
              <w:t>целевому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</w:t>
            </w:r>
            <w:hyperlink r:id="rId9" w:anchor="Par1023" w:history="1">
              <w:r>
                <w:rPr>
                  <w:rStyle w:val="-"/>
                  <w:i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пользуемые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формуле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сбора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информации,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отчетности</w:t>
            </w:r>
          </w:p>
          <w:p w:rsidR="0031790D" w:rsidRDefault="005C1B16">
            <w:pPr>
              <w:jc w:val="center"/>
            </w:pPr>
            <w:hyperlink r:id="rId10" w:anchor="Par1023" w:history="1">
              <w:r w:rsidR="00556827">
                <w:rPr>
                  <w:rStyle w:val="-"/>
                  <w:i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наблю-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дения</w:t>
            </w:r>
          </w:p>
          <w:p w:rsidR="0031790D" w:rsidRDefault="005C1B16">
            <w:pPr>
              <w:jc w:val="center"/>
            </w:pPr>
            <w:hyperlink r:id="rId11" w:anchor="Par1024" w:history="1">
              <w:r w:rsidR="00556827">
                <w:rPr>
                  <w:rStyle w:val="-"/>
                  <w:i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совокуп-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</w:t>
            </w:r>
          </w:p>
          <w:p w:rsidR="0031790D" w:rsidRDefault="005C1B16">
            <w:pPr>
              <w:jc w:val="center"/>
            </w:pPr>
            <w:hyperlink r:id="rId12" w:anchor="Par1025" w:history="1">
              <w:r w:rsidR="00556827">
                <w:rPr>
                  <w:rStyle w:val="-"/>
                  <w:i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сбор данных</w:t>
            </w:r>
          </w:p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целевому показателю </w:t>
            </w:r>
          </w:p>
          <w:p w:rsidR="0031790D" w:rsidRDefault="005C1B16">
            <w:pPr>
              <w:jc w:val="center"/>
            </w:pPr>
            <w:hyperlink r:id="rId13" w:anchor="Par1026" w:history="1">
              <w:r w:rsidR="00556827">
                <w:rPr>
                  <w:rStyle w:val="-"/>
                  <w:i/>
                  <w:sz w:val="24"/>
                  <w:szCs w:val="24"/>
                </w:rPr>
                <w:t>&lt;7&gt;</w:t>
              </w:r>
            </w:hyperlink>
          </w:p>
        </w:tc>
      </w:tr>
      <w:tr w:rsidR="0031790D">
        <w:tc>
          <w:tcPr>
            <w:tcW w:w="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1790D">
        <w:trPr>
          <w:cantSplit/>
          <w:trHeight w:val="480"/>
        </w:trPr>
        <w:tc>
          <w:tcPr>
            <w:tcW w:w="5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16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Целевой показатель  1 </w:t>
            </w:r>
          </w:p>
          <w:p w:rsidR="0031790D" w:rsidRDefault="00556827">
            <w:pPr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Смертность от б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лезней системы кр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вообращения, случ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а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ев на 100 тыс. нас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е</w:t>
            </w: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ления;</w:t>
            </w:r>
          </w:p>
        </w:tc>
        <w:tc>
          <w:tcPr>
            <w:tcW w:w="5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Характеризует снижение уровня смертности  от б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лезней  системы кровообращения </w:t>
            </w:r>
          </w:p>
        </w:tc>
        <w:tc>
          <w:tcPr>
            <w:tcW w:w="17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Увч= Квч/Чнас*100%, где Увч-уровень смер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от болезней системы кровоо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ращения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  <w:p w:rsidR="0031790D" w:rsidRDefault="005568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Квч-  общее кол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чество случаев смертности от болезней сист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мы кровообращ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персонал,ед.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кольская ЦРБ»</w:t>
            </w:r>
          </w:p>
        </w:tc>
      </w:tr>
      <w:tr w:rsidR="0031790D">
        <w:trPr>
          <w:cantSplit/>
          <w:trHeight w:val="320"/>
        </w:trPr>
        <w:tc>
          <w:tcPr>
            <w:tcW w:w="55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6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7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4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r>
              <w:rPr>
                <w:sz w:val="24"/>
                <w:szCs w:val="24"/>
              </w:rPr>
              <w:t xml:space="preserve">показатель 2  </w:t>
            </w:r>
            <w:r>
              <w:rPr>
                <w:i/>
                <w:sz w:val="24"/>
                <w:szCs w:val="24"/>
              </w:rPr>
              <w:t>Чнас - числе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ность населения в данной МО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населения.ед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</w:tr>
      <w:tr w:rsidR="0031790D">
        <w:trPr>
          <w:cantSplit/>
          <w:trHeight w:val="1099"/>
        </w:trPr>
        <w:tc>
          <w:tcPr>
            <w:tcW w:w="5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r>
              <w:rPr>
                <w:i/>
                <w:sz w:val="24"/>
                <w:szCs w:val="24"/>
              </w:rPr>
              <w:t>Целевой показатель 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Смертность от новообразований, случаев на 100 тыс. населения;</w:t>
            </w:r>
          </w:p>
        </w:tc>
        <w:tc>
          <w:tcPr>
            <w:tcW w:w="5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Характеризует снижение уровня смертности от н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вообразований</w:t>
            </w:r>
          </w:p>
        </w:tc>
        <w:tc>
          <w:tcPr>
            <w:tcW w:w="17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Уср.п.=Кср.п./Кшд* 100%, где Уср.п. - уровень смертности от  новообразований  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pPr>
              <w:snapToGrid w:val="0"/>
            </w:pPr>
            <w:r>
              <w:rPr>
                <w:sz w:val="24"/>
                <w:szCs w:val="24"/>
              </w:rPr>
              <w:t>показатель 1 Кср.п.-</w:t>
            </w:r>
            <w:r>
              <w:rPr>
                <w:i/>
                <w:sz w:val="24"/>
                <w:szCs w:val="24"/>
              </w:rPr>
              <w:t xml:space="preserve"> общее 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личество случаев смертности от болезней сист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мы кровообращ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дицинский персонал,ед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tabs>
                <w:tab w:val="left" w:pos="13980"/>
                <w:tab w:val="left" w:pos="16245"/>
              </w:tabs>
              <w:snapToGrid w:val="0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</w:tr>
      <w:tr w:rsidR="0031790D">
        <w:trPr>
          <w:cantSplit/>
        </w:trPr>
        <w:tc>
          <w:tcPr>
            <w:tcW w:w="55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6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7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4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5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pPr>
              <w:snapToGrid w:val="0"/>
            </w:pPr>
            <w:r>
              <w:rPr>
                <w:sz w:val="24"/>
                <w:szCs w:val="24"/>
              </w:rPr>
              <w:t xml:space="preserve">показатель 2  </w:t>
            </w:r>
            <w:r>
              <w:rPr>
                <w:i/>
                <w:sz w:val="24"/>
                <w:szCs w:val="24"/>
              </w:rPr>
              <w:t>Кшд- числе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ность населения в данной МО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персонал,ед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</w:tr>
      <w:tr w:rsidR="0031790D">
        <w:trPr>
          <w:cantSplit/>
        </w:trPr>
        <w:tc>
          <w:tcPr>
            <w:tcW w:w="553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pStyle w:val="ac"/>
              <w:snapToGrid w:val="0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</w:p>
          <w:p w:rsidR="0031790D" w:rsidRDefault="00556827">
            <w:pPr>
              <w:pStyle w:val="ac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 xml:space="preserve">Целевой показатель  3 </w:t>
            </w:r>
          </w:p>
          <w:p w:rsidR="0031790D" w:rsidRDefault="00556827">
            <w:pPr>
              <w:snapToGrid w:val="0"/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Смертность от т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у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беркулеза, случаев на 100 тыс. населения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Характеризует снижение уровня смертности от т</w:t>
            </w:r>
            <w:r>
              <w:rPr>
                <w:i/>
                <w:iCs/>
                <w:sz w:val="24"/>
                <w:szCs w:val="24"/>
              </w:rPr>
              <w:t>у</w:t>
            </w:r>
            <w:r>
              <w:rPr>
                <w:i/>
                <w:iCs/>
                <w:sz w:val="24"/>
                <w:szCs w:val="24"/>
              </w:rPr>
              <w:t>беркулеза</w:t>
            </w:r>
          </w:p>
        </w:tc>
        <w:tc>
          <w:tcPr>
            <w:tcW w:w="17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0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Усж = Кпсж/Кобщ * 100%, где Усж-уровень смертности от туберкулеза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  <w:p w:rsidR="0031790D" w:rsidRDefault="005568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Кпсж- колич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ство посещений врачей поликл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ники сельскими жителями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население, ед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кольская ЦРБ»</w:t>
            </w:r>
          </w:p>
        </w:tc>
      </w:tr>
      <w:tr w:rsidR="0031790D">
        <w:trPr>
          <w:cantSplit/>
        </w:trPr>
        <w:tc>
          <w:tcPr>
            <w:tcW w:w="553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649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566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16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792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408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r>
              <w:rPr>
                <w:sz w:val="24"/>
                <w:szCs w:val="24"/>
              </w:rPr>
              <w:t xml:space="preserve">показатель 2  </w:t>
            </w:r>
            <w:r>
              <w:rPr>
                <w:i/>
                <w:sz w:val="24"/>
                <w:szCs w:val="24"/>
              </w:rPr>
              <w:t>Кобщ -общее 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личество пос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щений поликл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ники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населения, ед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</w:tr>
      <w:tr w:rsidR="0031790D">
        <w:trPr>
          <w:cantSplit/>
        </w:trPr>
        <w:tc>
          <w:tcPr>
            <w:tcW w:w="5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pStyle w:val="ac"/>
              <w:snapToGrid w:val="0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</w:p>
          <w:p w:rsidR="0031790D" w:rsidRDefault="00556827">
            <w:pPr>
              <w:pStyle w:val="ac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highlight w:val="white"/>
              </w:rPr>
              <w:t>Целевой показатель  4</w:t>
            </w:r>
          </w:p>
          <w:p w:rsidR="0031790D" w:rsidRDefault="00556827">
            <w:pPr>
              <w:snapToGrid w:val="0"/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Охват диспансер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и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зацией определенных групп взрослого населения, %</w:t>
            </w:r>
          </w:p>
          <w:p w:rsidR="0031790D" w:rsidRDefault="0031790D">
            <w:pPr>
              <w:snapToGrid w:val="0"/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4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Характеризует  ув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личение уровня охвата диспансер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>зацией взрослого населения</w:t>
            </w:r>
          </w:p>
        </w:tc>
        <w:tc>
          <w:tcPr>
            <w:tcW w:w="17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Увыс = Кшдв /Чнас.* 10000, где Увыс- уровень охв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 диспансеризац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взрослого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  <w:p w:rsidR="0031790D" w:rsidRDefault="005568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Кшдв- число штатных дол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ностей с высшим мед.образованием  в МО(Медицинской орг-ии)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персонал.ед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кольская ЦРБ»</w:t>
            </w:r>
          </w:p>
        </w:tc>
      </w:tr>
      <w:tr w:rsidR="0031790D">
        <w:trPr>
          <w:cantSplit/>
        </w:trPr>
        <w:tc>
          <w:tcPr>
            <w:tcW w:w="55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6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7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4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r>
              <w:rPr>
                <w:sz w:val="24"/>
                <w:szCs w:val="24"/>
              </w:rPr>
              <w:t xml:space="preserve">показатель 2  </w:t>
            </w:r>
            <w:r>
              <w:rPr>
                <w:i/>
                <w:sz w:val="24"/>
                <w:szCs w:val="24"/>
              </w:rPr>
              <w:t>Чнас -численность населения в да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ной МО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населения, ед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</w:tr>
      <w:tr w:rsidR="0031790D">
        <w:trPr>
          <w:cantSplit/>
        </w:trPr>
        <w:tc>
          <w:tcPr>
            <w:tcW w:w="5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r>
              <w:rPr>
                <w:i/>
                <w:iCs/>
                <w:sz w:val="24"/>
                <w:szCs w:val="24"/>
              </w:rPr>
              <w:t xml:space="preserve"> Целевой показатель  5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Уровень</w:t>
            </w:r>
          </w:p>
          <w:p w:rsidR="0031790D" w:rsidRDefault="00556827"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 xml:space="preserve"> укомплектованн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о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сти врачами мед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и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цинских учрежд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е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highlight w:val="white"/>
              </w:rPr>
              <w:t>ний, %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4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Характеризует  ур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вень укомплектова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ности врачами БУЗ ВО «Никольсккая ЦРБ»</w:t>
            </w:r>
          </w:p>
        </w:tc>
        <w:tc>
          <w:tcPr>
            <w:tcW w:w="17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4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Усред = Кшдмп /Чнас* 10000, где Усред-уровень укомплектованности врачами 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  <w:p w:rsidR="0031790D" w:rsidRDefault="005568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Кшдмп- число штатных дол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ностей врачей в МО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врачей на территории  МО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кольская ЦРБ»</w:t>
            </w:r>
          </w:p>
        </w:tc>
      </w:tr>
      <w:tr w:rsidR="0031790D">
        <w:trPr>
          <w:cantSplit/>
        </w:trPr>
        <w:tc>
          <w:tcPr>
            <w:tcW w:w="55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6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4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7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24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      </w:t>
            </w:r>
          </w:p>
          <w:p w:rsidR="0031790D" w:rsidRDefault="00556827">
            <w:r>
              <w:rPr>
                <w:sz w:val="24"/>
                <w:szCs w:val="24"/>
              </w:rPr>
              <w:t xml:space="preserve">показатель 2  </w:t>
            </w:r>
            <w:r>
              <w:rPr>
                <w:i/>
                <w:sz w:val="24"/>
                <w:szCs w:val="24"/>
              </w:rPr>
              <w:t>Чнас -численность населения в да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ном МО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790D" w:rsidRDefault="005568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«Никольская ЦРБ»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населения, ед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1-сплошное наблюдение</w:t>
            </w:r>
          </w:p>
        </w:tc>
        <w:tc>
          <w:tcPr>
            <w:tcW w:w="26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/>
        </w:tc>
      </w:tr>
    </w:tbl>
    <w:p w:rsidR="0031790D" w:rsidRDefault="0031790D">
      <w:pPr>
        <w:ind w:firstLine="540"/>
        <w:jc w:val="both"/>
        <w:rPr>
          <w:sz w:val="28"/>
          <w:szCs w:val="28"/>
        </w:rPr>
      </w:pP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8"/>
          <w:szCs w:val="28"/>
        </w:rPr>
      </w:pP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8"/>
          <w:szCs w:val="28"/>
        </w:rPr>
      </w:pP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8"/>
          <w:szCs w:val="28"/>
        </w:rPr>
      </w:pPr>
    </w:p>
    <w:p w:rsidR="0031790D" w:rsidRDefault="00556827">
      <w:pPr>
        <w:jc w:val="right"/>
      </w:pPr>
      <w:r>
        <w:t xml:space="preserve">     Приложение 3 к муниципальной программе</w:t>
      </w:r>
    </w:p>
    <w:p w:rsidR="0031790D" w:rsidRDefault="0031790D">
      <w:pPr>
        <w:jc w:val="right"/>
        <w:textAlignment w:val="top"/>
      </w:pPr>
    </w:p>
    <w:p w:rsidR="0031790D" w:rsidRDefault="00556827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Финансовое обеспечение </w:t>
      </w:r>
    </w:p>
    <w:p w:rsidR="0031790D" w:rsidRDefault="00556827">
      <w:pPr>
        <w:jc w:val="center"/>
        <w:rPr>
          <w:b/>
        </w:rPr>
      </w:pPr>
      <w:r>
        <w:rPr>
          <w:b/>
        </w:rPr>
        <w:t xml:space="preserve">программы муниципальной программы за счет средств районного  бюджета </w:t>
      </w:r>
    </w:p>
    <w:tbl>
      <w:tblPr>
        <w:tblW w:w="16073" w:type="dxa"/>
        <w:tblInd w:w="-7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1862"/>
        <w:gridCol w:w="1976"/>
        <w:gridCol w:w="1827"/>
        <w:gridCol w:w="2284"/>
        <w:gridCol w:w="2954"/>
        <w:gridCol w:w="878"/>
        <w:gridCol w:w="798"/>
        <w:gridCol w:w="937"/>
        <w:gridCol w:w="907"/>
        <w:gridCol w:w="871"/>
        <w:gridCol w:w="779"/>
      </w:tblGrid>
      <w:tr w:rsidR="008C7E1A" w:rsidRPr="008C7E1A" w:rsidTr="001F0453">
        <w:trPr>
          <w:cantSplit/>
          <w:trHeight w:val="313"/>
        </w:trPr>
        <w:tc>
          <w:tcPr>
            <w:tcW w:w="18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Наименование</w:t>
            </w: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ведомственной целевой програ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мы, основного</w:t>
            </w: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Целевой показатель </w:t>
            </w: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из перечня показат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лей подпрограммы</w:t>
            </w:r>
          </w:p>
        </w:tc>
        <w:tc>
          <w:tcPr>
            <w:tcW w:w="29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51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8C7E1A" w:rsidRPr="008C7E1A" w:rsidTr="001F0453">
        <w:trPr>
          <w:cantSplit/>
          <w:trHeight w:val="932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trike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2025</w:t>
            </w:r>
          </w:p>
        </w:tc>
      </w:tr>
      <w:tr w:rsidR="008C7E1A" w:rsidRPr="008C7E1A" w:rsidTr="001F0453">
        <w:trPr>
          <w:trHeight w:val="224"/>
        </w:trPr>
        <w:tc>
          <w:tcPr>
            <w:tcW w:w="1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«Кадровая пол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тика в сфере здравоохранения Никольского м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у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ниципального района на 2020-2025 годы»     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 Администрация Никольского муниципального района, БУЗ ВО «НЦРБ»                            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457,2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657,7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1046,0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1046,0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собственные доходы ра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й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онного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средств федерал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ь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собственных средств областного бюдж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безвозмездные поступл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ния от физических и юр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514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Администрация Никольского муниципального района</w:t>
            </w: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i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</w:tr>
      <w:tr w:rsidR="008C7E1A" w:rsidRPr="008C7E1A" w:rsidTr="001F0453">
        <w:trPr>
          <w:cantSplit/>
          <w:trHeight w:val="619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собственные доходы ра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й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938,0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средств федерал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ь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собственных средств областного бюдж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20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безвозмездные поступл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ния от физических и юр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БУЗ ВО «Н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кольская ЦРБ»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средств федерал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ь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собственных средств областного бюдж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безвозмездные поступл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ния от физических и юр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Основное мер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о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приятие 1</w:t>
            </w: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Предоставле-</w:t>
            </w:r>
          </w:p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ние жилья мед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цинским рабо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т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никам</w:t>
            </w:r>
          </w:p>
        </w:tc>
        <w:tc>
          <w:tcPr>
            <w:tcW w:w="182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Администрация Никольского муниципально-</w:t>
            </w:r>
          </w:p>
          <w:p w:rsidR="008C7E1A" w:rsidRPr="008C7E1A" w:rsidRDefault="008C7E1A" w:rsidP="008C7E1A">
            <w:pPr>
              <w:spacing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го района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uppressLineNumbers/>
              <w:suppressAutoHyphens/>
              <w:spacing w:line="100" w:lineRule="atLeast"/>
              <w:contextualSpacing/>
              <w:textAlignment w:val="baseline"/>
              <w:rPr>
                <w:sz w:val="24"/>
                <w:szCs w:val="24"/>
              </w:rPr>
            </w:pPr>
            <w:r w:rsidRPr="008C7E1A">
              <w:rPr>
                <w:spacing w:val="2"/>
                <w:sz w:val="24"/>
                <w:szCs w:val="24"/>
                <w:shd w:val="clear" w:color="auto" w:fill="FFFFFF"/>
              </w:rPr>
              <w:t xml:space="preserve">Укомплектованность врачебных должностей в БУЗ ВО </w:t>
            </w:r>
            <w:r w:rsidRPr="008C7E1A">
              <w:rPr>
                <w:iCs/>
                <w:spacing w:val="2"/>
                <w:sz w:val="24"/>
                <w:szCs w:val="24"/>
                <w:shd w:val="clear" w:color="auto" w:fill="FFFFFF"/>
              </w:rPr>
              <w:t>«Никольская ЦРБ»</w:t>
            </w:r>
          </w:p>
          <w:p w:rsidR="008C7E1A" w:rsidRPr="008C7E1A" w:rsidRDefault="008C7E1A" w:rsidP="008C7E1A">
            <w:pPr>
              <w:suppressLineNumbers/>
              <w:suppressAutoHyphens/>
              <w:snapToGrid w:val="0"/>
              <w:spacing w:line="100" w:lineRule="atLeast"/>
              <w:contextualSpacing/>
              <w:textAlignment w:val="baseline"/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500,0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собственные доходы ра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й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онного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500,0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средств федерал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ь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собственных средств областного бюдж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безвозмездные поступл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ния от физических и юр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Основное мер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о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приятие 2 </w:t>
            </w: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Оказание соц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альной по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д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держки студе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н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там, специал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стам сферы здравоохранения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pacing w:after="198"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Администрация Никольского муниципально-</w:t>
            </w:r>
          </w:p>
          <w:p w:rsidR="008C7E1A" w:rsidRPr="008C7E1A" w:rsidRDefault="008C7E1A" w:rsidP="008C7E1A">
            <w:pPr>
              <w:spacing w:after="198"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го района, БУЗ ВО «НЦРБ»</w:t>
            </w:r>
          </w:p>
          <w:p w:rsidR="008C7E1A" w:rsidRPr="008C7E1A" w:rsidRDefault="008C7E1A" w:rsidP="008C7E1A">
            <w:pPr>
              <w:spacing w:after="198" w:line="276" w:lineRule="auto"/>
              <w:contextualSpacing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Обеспечен-</w:t>
            </w:r>
          </w:p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ность специалист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ми с высшим мед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цинским образов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нием,</w:t>
            </w:r>
          </w:p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обеспечен-</w:t>
            </w:r>
          </w:p>
          <w:p w:rsidR="008C7E1A" w:rsidRPr="008C7E1A" w:rsidRDefault="008C7E1A" w:rsidP="008C7E1A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ность специалист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ми со средним м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дицинским образ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8C7E1A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ванием 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457,2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546,0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546,0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546,0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собственные доходы ра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й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средств федерал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ь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собственных средств областного бюдж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безвозмездные поступл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ния от физических и юр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Администрация Никольского муниципального района </w:t>
            </w: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собственные доходы ра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й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 xml:space="preserve">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438,0</w:t>
            </w: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средств федерал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ь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собственных средств областного бюдж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безвозмездные поступл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ния от физических и юр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БУЗ ВО « Н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кольская ЦРБ»</w:t>
            </w:r>
          </w:p>
        </w:tc>
        <w:tc>
          <w:tcPr>
            <w:tcW w:w="2284" w:type="dxa"/>
            <w:vMerge w:val="restart"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108,0</w:t>
            </w: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средств федерал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ь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областного бюджета за счет собственных средств областного бюдж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межбюджетные трансфе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  <w:tr w:rsidR="008C7E1A" w:rsidRPr="008C7E1A" w:rsidTr="001F0453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pacing w:after="200" w:line="276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безвозмездные поступл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ния от физических и юр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и</w:t>
            </w:r>
            <w:r w:rsidRPr="008C7E1A">
              <w:rPr>
                <w:rFonts w:eastAsia="Calibri" w:cstheme="minorBidi"/>
                <w:sz w:val="24"/>
                <w:szCs w:val="24"/>
                <w:lang w:eastAsia="en-US"/>
              </w:rPr>
              <w:t>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8C7E1A" w:rsidRPr="008C7E1A" w:rsidRDefault="008C7E1A" w:rsidP="008C7E1A">
            <w:pPr>
              <w:snapToGrid w:val="0"/>
              <w:spacing w:after="200"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</w:p>
        </w:tc>
      </w:tr>
    </w:tbl>
    <w:p w:rsidR="0031790D" w:rsidRDefault="0031790D">
      <w:pPr>
        <w:ind w:firstLine="567"/>
      </w:pPr>
    </w:p>
    <w:p w:rsidR="0031790D" w:rsidRDefault="00556827">
      <w:r>
        <w:t>&lt;*&gt; Указываются при условии подтверждения поступления указанных средств</w:t>
      </w:r>
    </w:p>
    <w:p w:rsidR="0031790D" w:rsidRDefault="00556827">
      <w:pPr>
        <w:rPr>
          <w:sz w:val="22"/>
          <w:szCs w:val="22"/>
        </w:rPr>
      </w:pPr>
      <w:r>
        <w:rPr>
          <w:sz w:val="22"/>
          <w:szCs w:val="22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8C7E1A" w:rsidRDefault="008C7E1A">
      <w:pPr>
        <w:jc w:val="right"/>
        <w:textAlignment w:val="top"/>
        <w:rPr>
          <w:sz w:val="26"/>
          <w:szCs w:val="26"/>
        </w:rPr>
      </w:pPr>
    </w:p>
    <w:p w:rsidR="008C7E1A" w:rsidRDefault="008C7E1A">
      <w:pPr>
        <w:jc w:val="right"/>
        <w:textAlignment w:val="top"/>
        <w:rPr>
          <w:sz w:val="26"/>
          <w:szCs w:val="26"/>
        </w:rPr>
      </w:pPr>
    </w:p>
    <w:p w:rsidR="008C7E1A" w:rsidRDefault="008C7E1A">
      <w:pPr>
        <w:jc w:val="right"/>
        <w:textAlignment w:val="top"/>
        <w:rPr>
          <w:sz w:val="26"/>
          <w:szCs w:val="26"/>
        </w:rPr>
      </w:pPr>
    </w:p>
    <w:p w:rsidR="0031790D" w:rsidRDefault="0031790D">
      <w:pPr>
        <w:jc w:val="right"/>
        <w:textAlignment w:val="top"/>
        <w:rPr>
          <w:sz w:val="26"/>
          <w:szCs w:val="26"/>
        </w:rPr>
      </w:pPr>
    </w:p>
    <w:p w:rsidR="0031790D" w:rsidRDefault="00556827">
      <w:pPr>
        <w:jc w:val="right"/>
        <w:textAlignment w:val="top"/>
      </w:pPr>
      <w:r>
        <w:t>Приложение 4</w:t>
      </w:r>
    </w:p>
    <w:p w:rsidR="0031790D" w:rsidRDefault="00556827">
      <w:pPr>
        <w:jc w:val="right"/>
        <w:textAlignment w:val="top"/>
      </w:pPr>
      <w:r>
        <w:t>к муниципальной программе</w:t>
      </w:r>
    </w:p>
    <w:p w:rsidR="0031790D" w:rsidRDefault="00556827">
      <w:pPr>
        <w:jc w:val="right"/>
      </w:pPr>
      <w:r>
        <w:tab/>
        <w:t xml:space="preserve"> </w:t>
      </w:r>
    </w:p>
    <w:p w:rsidR="008C7E1A" w:rsidRPr="008C7E1A" w:rsidRDefault="008C7E1A" w:rsidP="008C7E1A">
      <w:pPr>
        <w:autoSpaceDE w:val="0"/>
        <w:jc w:val="center"/>
        <w:rPr>
          <w:b/>
          <w:color w:val="auto"/>
          <w:sz w:val="26"/>
          <w:szCs w:val="26"/>
        </w:rPr>
      </w:pPr>
      <w:r w:rsidRPr="008C7E1A">
        <w:rPr>
          <w:b/>
          <w:caps/>
          <w:color w:val="auto"/>
          <w:sz w:val="26"/>
          <w:szCs w:val="26"/>
        </w:rPr>
        <w:t xml:space="preserve">Прогнозная (справочная) оценка </w:t>
      </w:r>
    </w:p>
    <w:p w:rsidR="008C7E1A" w:rsidRPr="008C7E1A" w:rsidRDefault="008C7E1A" w:rsidP="008C7E1A">
      <w:pPr>
        <w:autoSpaceDE w:val="0"/>
        <w:jc w:val="center"/>
        <w:rPr>
          <w:b/>
          <w:color w:val="auto"/>
          <w:sz w:val="26"/>
          <w:szCs w:val="26"/>
        </w:rPr>
      </w:pPr>
      <w:r w:rsidRPr="008C7E1A">
        <w:rPr>
          <w:b/>
          <w:color w:val="auto"/>
          <w:sz w:val="26"/>
          <w:szCs w:val="26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</w:t>
      </w:r>
      <w:r w:rsidRPr="008C7E1A">
        <w:rPr>
          <w:b/>
          <w:color w:val="auto"/>
          <w:sz w:val="26"/>
          <w:szCs w:val="26"/>
        </w:rPr>
        <w:t>и</w:t>
      </w:r>
      <w:r w:rsidRPr="008C7E1A">
        <w:rPr>
          <w:b/>
          <w:color w:val="auto"/>
          <w:sz w:val="26"/>
          <w:szCs w:val="26"/>
        </w:rPr>
        <w:t>пальной программы)</w:t>
      </w:r>
    </w:p>
    <w:p w:rsidR="008C7E1A" w:rsidRPr="008C7E1A" w:rsidRDefault="008C7E1A" w:rsidP="008C7E1A">
      <w:pPr>
        <w:autoSpaceDE w:val="0"/>
        <w:jc w:val="center"/>
        <w:rPr>
          <w:b/>
          <w:color w:val="auto"/>
          <w:sz w:val="26"/>
          <w:szCs w:val="26"/>
        </w:rPr>
      </w:pPr>
    </w:p>
    <w:tbl>
      <w:tblPr>
        <w:tblW w:w="16181" w:type="dxa"/>
        <w:tblInd w:w="-9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5"/>
        <w:gridCol w:w="1710"/>
        <w:gridCol w:w="1755"/>
        <w:gridCol w:w="1695"/>
        <w:gridCol w:w="1530"/>
        <w:gridCol w:w="1487"/>
        <w:gridCol w:w="2169"/>
      </w:tblGrid>
      <w:tr w:rsidR="008C7E1A" w:rsidRPr="008C7E1A" w:rsidTr="001F0453">
        <w:trPr>
          <w:cantSplit/>
          <w:trHeight w:val="320"/>
        </w:trPr>
        <w:tc>
          <w:tcPr>
            <w:tcW w:w="5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0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Оценка расходов (тыс. руб.)</w:t>
            </w:r>
          </w:p>
        </w:tc>
      </w:tr>
      <w:tr w:rsidR="008C7E1A" w:rsidRPr="008C7E1A" w:rsidTr="001F0453">
        <w:trPr>
          <w:cantSplit/>
          <w:trHeight w:val="415"/>
        </w:trPr>
        <w:tc>
          <w:tcPr>
            <w:tcW w:w="5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2020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2021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2024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2025</w:t>
            </w:r>
          </w:p>
        </w:tc>
      </w:tr>
      <w:tr w:rsidR="008C7E1A" w:rsidRPr="008C7E1A" w:rsidTr="001F0453">
        <w:trPr>
          <w:trHeight w:val="14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tabs>
                <w:tab w:val="center" w:pos="780"/>
                <w:tab w:val="left" w:pos="1470"/>
              </w:tabs>
              <w:autoSpaceDE w:val="0"/>
              <w:snapToGrid w:val="0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ab/>
              <w:t>324,0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15,0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</w:tr>
      <w:tr w:rsidR="008C7E1A" w:rsidRPr="008C7E1A" w:rsidTr="001F0453">
        <w:trPr>
          <w:trHeight w:val="29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 xml:space="preserve">организации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324,0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15,0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108,0</w:t>
            </w:r>
          </w:p>
        </w:tc>
      </w:tr>
      <w:tr w:rsidR="008C7E1A" w:rsidRPr="008C7E1A" w:rsidTr="001F0453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 xml:space="preserve">федеральный бюджет  &lt;*&gt;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</w:tr>
      <w:tr w:rsidR="008C7E1A" w:rsidRPr="008C7E1A" w:rsidTr="001F0453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областной бюджет &lt;*&gt;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</w:tr>
      <w:tr w:rsidR="008C7E1A" w:rsidRPr="008C7E1A" w:rsidTr="001F0453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rPr>
                <w:color w:val="auto"/>
              </w:rPr>
            </w:pPr>
            <w:r w:rsidRPr="008C7E1A">
              <w:rPr>
                <w:color w:val="auto"/>
                <w:sz w:val="26"/>
                <w:szCs w:val="26"/>
              </w:rPr>
              <w:t xml:space="preserve">Бюджеты поселений &lt;**&gt;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  <w:sz w:val="26"/>
                <w:szCs w:val="26"/>
              </w:rPr>
            </w:pPr>
            <w:r w:rsidRPr="008C7E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C7E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C7E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1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1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1A" w:rsidRPr="008C7E1A" w:rsidRDefault="008C7E1A" w:rsidP="008C7E1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1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8C7E1A" w:rsidRPr="008C7E1A" w:rsidRDefault="008C7E1A" w:rsidP="008C7E1A">
      <w:pPr>
        <w:spacing w:after="198" w:line="276" w:lineRule="auto"/>
        <w:contextualSpacing/>
        <w:rPr>
          <w:rFonts w:eastAsia="Calibri" w:cstheme="minorBidi"/>
          <w:sz w:val="24"/>
          <w:szCs w:val="24"/>
          <w:lang w:eastAsia="en-US"/>
        </w:rPr>
      </w:pPr>
    </w:p>
    <w:p w:rsidR="008C7E1A" w:rsidRPr="008C7E1A" w:rsidRDefault="008C7E1A" w:rsidP="008C7E1A">
      <w:pPr>
        <w:tabs>
          <w:tab w:val="left" w:pos="12990"/>
        </w:tabs>
        <w:spacing w:after="198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8C7E1A">
        <w:rPr>
          <w:rFonts w:eastAsia="Calibri"/>
          <w:sz w:val="24"/>
          <w:szCs w:val="24"/>
          <w:lang w:eastAsia="en-US"/>
        </w:rPr>
        <w:t>&lt;*&gt; Объемы привлечения средств областного бюджета за счет средств федерального бюджета и собственных средств областного бюджета вкл</w:t>
      </w:r>
      <w:r w:rsidRPr="008C7E1A">
        <w:rPr>
          <w:rFonts w:eastAsia="Calibri"/>
          <w:sz w:val="24"/>
          <w:szCs w:val="24"/>
          <w:lang w:eastAsia="en-US"/>
        </w:rPr>
        <w:t>ю</w:t>
      </w:r>
      <w:r w:rsidRPr="008C7E1A">
        <w:rPr>
          <w:rFonts w:eastAsia="Calibri"/>
          <w:sz w:val="24"/>
          <w:szCs w:val="24"/>
          <w:lang w:eastAsia="en-US"/>
        </w:rPr>
        <w:t>чают в себя объемы финансового обеспечения реализации муниципальной программы (подпрограммы) за счет указан-ных средств, отраженные в таблице 4</w:t>
      </w:r>
    </w:p>
    <w:p w:rsidR="008C7E1A" w:rsidRPr="008C7E1A" w:rsidRDefault="008C7E1A" w:rsidP="008C7E1A">
      <w:pPr>
        <w:tabs>
          <w:tab w:val="left" w:pos="12990"/>
        </w:tabs>
        <w:spacing w:after="198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8C7E1A">
        <w:rPr>
          <w:rFonts w:eastAsia="Calibri"/>
          <w:sz w:val="24"/>
          <w:szCs w:val="24"/>
          <w:lang w:eastAsia="en-US"/>
        </w:rPr>
        <w:t>&lt;**&gt; Сведения приводятся для муниципальных программ в случае участия поселений</w:t>
      </w: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8"/>
          <w:szCs w:val="28"/>
        </w:rPr>
      </w:pP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8"/>
          <w:szCs w:val="28"/>
        </w:rPr>
      </w:pPr>
    </w:p>
    <w:p w:rsidR="0031790D" w:rsidRDefault="00556827">
      <w:pPr>
        <w:jc w:val="right"/>
        <w:textAlignment w:val="top"/>
      </w:pPr>
      <w:r>
        <w:t>Приложение 5</w:t>
      </w:r>
    </w:p>
    <w:p w:rsidR="0031790D" w:rsidRDefault="00556827">
      <w:pPr>
        <w:jc w:val="right"/>
        <w:textAlignment w:val="top"/>
      </w:pPr>
      <w:r>
        <w:t>к муниципальной программе</w:t>
      </w:r>
    </w:p>
    <w:p w:rsidR="0031790D" w:rsidRDefault="00556827">
      <w:pPr>
        <w:jc w:val="right"/>
      </w:pPr>
      <w:r>
        <w:tab/>
      </w:r>
    </w:p>
    <w:p w:rsidR="0031790D" w:rsidRDefault="00556827">
      <w:pPr>
        <w:jc w:val="center"/>
        <w:rPr>
          <w:b/>
          <w:caps/>
        </w:rPr>
      </w:pPr>
      <w:r>
        <w:rPr>
          <w:b/>
          <w:caps/>
        </w:rPr>
        <w:t xml:space="preserve">Сведения </w:t>
      </w:r>
    </w:p>
    <w:p w:rsidR="0031790D" w:rsidRDefault="00556827">
      <w:pPr>
        <w:jc w:val="center"/>
      </w:pPr>
      <w:r>
        <w:rPr>
          <w:b/>
          <w:sz w:val="28"/>
          <w:szCs w:val="28"/>
        </w:rPr>
        <w:t xml:space="preserve">об основных мерах правового регулирования в сфере реализации подпрограммы </w:t>
      </w:r>
      <w:r>
        <w:rPr>
          <w:b/>
          <w:i/>
          <w:sz w:val="28"/>
          <w:szCs w:val="28"/>
        </w:rPr>
        <w:t>к</w:t>
      </w:r>
      <w:r>
        <w:rPr>
          <w:b/>
          <w:sz w:val="28"/>
          <w:szCs w:val="28"/>
        </w:rPr>
        <w:t xml:space="preserve"> муниципальной программе </w:t>
      </w:r>
    </w:p>
    <w:p w:rsidR="0031790D" w:rsidRDefault="0031790D">
      <w:pPr>
        <w:jc w:val="center"/>
        <w:rPr>
          <w:b/>
          <w:sz w:val="28"/>
          <w:szCs w:val="28"/>
        </w:rPr>
      </w:pPr>
    </w:p>
    <w:tbl>
      <w:tblPr>
        <w:tblW w:w="16100" w:type="dxa"/>
        <w:tblInd w:w="-70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909"/>
        <w:gridCol w:w="3272"/>
        <w:gridCol w:w="4683"/>
        <w:gridCol w:w="4040"/>
        <w:gridCol w:w="3196"/>
      </w:tblGrid>
      <w:tr w:rsidR="0031790D">
        <w:trPr>
          <w:trHeight w:val="333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 нормативного</w:t>
            </w:r>
          </w:p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4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положения нормативного</w:t>
            </w:r>
          </w:p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4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исполнитель,</w:t>
            </w:r>
          </w:p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</w:t>
            </w:r>
          </w:p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принятия</w:t>
            </w:r>
          </w:p>
        </w:tc>
      </w:tr>
      <w:tr w:rsidR="0031790D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790D">
        <w:trPr>
          <w:trHeight w:val="60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9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1790D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790D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9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1790D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3179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31790D" w:rsidRDefault="005568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790D" w:rsidRDefault="0031790D">
      <w:pPr>
        <w:rPr>
          <w:sz w:val="28"/>
          <w:szCs w:val="28"/>
        </w:rPr>
      </w:pPr>
    </w:p>
    <w:p w:rsidR="0031790D" w:rsidRDefault="00556827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i/>
          <w:sz w:val="28"/>
          <w:szCs w:val="28"/>
        </w:rPr>
      </w:pPr>
      <w:r>
        <w:rPr>
          <w:i/>
          <w:sz w:val="28"/>
          <w:szCs w:val="28"/>
        </w:rPr>
        <w:t>&lt;*&gt; Сведения о ведомственных целевых программах приводятся в случае реализации в рамках муниципальной програ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мы ведомственных целевых программ</w:t>
      </w: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18"/>
          <w:szCs w:val="18"/>
        </w:rPr>
      </w:pP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8"/>
          <w:szCs w:val="28"/>
        </w:rPr>
      </w:pP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8"/>
          <w:szCs w:val="28"/>
        </w:rPr>
      </w:pPr>
    </w:p>
    <w:p w:rsidR="0031790D" w:rsidRDefault="0031790D">
      <w:pPr>
        <w:shd w:val="clear" w:color="auto" w:fill="FFFFFF"/>
        <w:tabs>
          <w:tab w:val="left" w:pos="929"/>
        </w:tabs>
        <w:spacing w:line="322" w:lineRule="exact"/>
        <w:ind w:left="7" w:firstLine="545"/>
      </w:pPr>
    </w:p>
    <w:sectPr w:rsidR="0031790D">
      <w:headerReference w:type="default" r:id="rId14"/>
      <w:footerReference w:type="default" r:id="rId15"/>
      <w:pgSz w:w="16838" w:h="11906" w:orient="landscape"/>
      <w:pgMar w:top="1191" w:right="567" w:bottom="1134" w:left="1134" w:header="1134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6" w:rsidRDefault="005C1B16">
      <w:r>
        <w:separator/>
      </w:r>
    </w:p>
  </w:endnote>
  <w:endnote w:type="continuationSeparator" w:id="0">
    <w:p w:rsidR="005C1B16" w:rsidRDefault="005C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7" w:rsidRDefault="00556827">
    <w:pPr>
      <w:pStyle w:val="af2"/>
      <w:tabs>
        <w:tab w:val="left" w:pos="2220"/>
        <w:tab w:val="center" w:pos="7639"/>
      </w:tabs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6" w:rsidRDefault="005C1B16">
      <w:r>
        <w:separator/>
      </w:r>
    </w:p>
  </w:footnote>
  <w:footnote w:type="continuationSeparator" w:id="0">
    <w:p w:rsidR="005C1B16" w:rsidRDefault="005C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7" w:rsidRDefault="00556827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0D"/>
    <w:rsid w:val="001C1EE9"/>
    <w:rsid w:val="0031790D"/>
    <w:rsid w:val="00556827"/>
    <w:rsid w:val="005C1B16"/>
    <w:rsid w:val="0070444D"/>
    <w:rsid w:val="008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tabs>
        <w:tab w:val="left" w:pos="0"/>
      </w:tabs>
      <w:outlineLvl w:val="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7">
    <w:name w:val="WW8Num8z7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4">
    <w:name w:val="WW8Num8z4"/>
    <w:qFormat/>
  </w:style>
  <w:style w:type="character" w:customStyle="1" w:styleId="2">
    <w:name w:val="Основной шрифт абзаца2"/>
    <w:qFormat/>
  </w:style>
  <w:style w:type="character" w:customStyle="1" w:styleId="WW8Num8z6">
    <w:name w:val="WW8Num8z6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8z5">
    <w:name w:val="WW8Num8z5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19z8">
    <w:name w:val="WW8Num19z8"/>
    <w:qFormat/>
  </w:style>
  <w:style w:type="character" w:customStyle="1" w:styleId="WW8Num19z0">
    <w:name w:val="WW8Num19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8z3">
    <w:name w:val="WW8Num8z3"/>
    <w:qFormat/>
  </w:style>
  <w:style w:type="character" w:customStyle="1" w:styleId="WW8Num4z0">
    <w:name w:val="WW8Num4z0"/>
    <w:qFormat/>
  </w:style>
  <w:style w:type="character" w:customStyle="1" w:styleId="WW8Num8z8">
    <w:name w:val="WW8Num8z8"/>
    <w:qFormat/>
  </w:style>
  <w:style w:type="character" w:customStyle="1" w:styleId="WW8Num8z0">
    <w:name w:val="WW8Num8z0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8z2">
    <w:name w:val="WW8Num8z2"/>
    <w:qFormat/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19z2">
    <w:name w:val="WW8Num19z2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19z3">
    <w:name w:val="WW8Num19z3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19z4">
    <w:name w:val="WW8Num19z4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customStyle="1" w:styleId="WW8Num19z5">
    <w:name w:val="WW8Num19z5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apple-converted-space">
    <w:name w:val="apple-converted-space"/>
    <w:qFormat/>
  </w:style>
  <w:style w:type="character" w:customStyle="1" w:styleId="WW8Num19z6">
    <w:name w:val="WW8Num19z6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WW8Num19z7">
    <w:name w:val="WW8Num19z7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-">
    <w:name w:val="Интернет-ссылка"/>
    <w:basedOn w:val="2"/>
    <w:rPr>
      <w:color w:val="5292C1"/>
      <w:u w:val="single"/>
    </w:rPr>
  </w:style>
  <w:style w:type="character" w:customStyle="1" w:styleId="a4">
    <w:name w:val="Символ нумерации"/>
    <w:qFormat/>
  </w:style>
  <w:style w:type="character" w:styleId="a5">
    <w:name w:val="Emphasis"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qFormat/>
  </w:style>
  <w:style w:type="paragraph" w:styleId="af2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pPr>
      <w:suppressLineNumbers/>
      <w:tabs>
        <w:tab w:val="center" w:pos="4698"/>
        <w:tab w:val="right" w:pos="9396"/>
      </w:tabs>
    </w:pPr>
  </w:style>
  <w:style w:type="paragraph" w:customStyle="1" w:styleId="13">
    <w:name w:val="Обычный (веб)1"/>
    <w:basedOn w:val="a"/>
    <w:qFormat/>
    <w:pPr>
      <w:suppressAutoHyphens/>
      <w:spacing w:before="280" w:after="280"/>
    </w:pPr>
    <w:rPr>
      <w:rFonts w:cs="Calibri"/>
      <w:sz w:val="24"/>
      <w:szCs w:val="24"/>
    </w:rPr>
  </w:style>
  <w:style w:type="paragraph" w:styleId="af4">
    <w:name w:val="Normal (Web)"/>
    <w:basedOn w:val="a"/>
    <w:qFormat/>
    <w:pPr>
      <w:spacing w:before="280" w:after="280"/>
    </w:pPr>
    <w:rPr>
      <w:sz w:val="24"/>
      <w:szCs w:val="24"/>
      <w:lang w:eastAsia="ru-RU"/>
    </w:rPr>
  </w:style>
  <w:style w:type="numbering" w:customStyle="1" w:styleId="WW8Num1">
    <w:name w:val="WW8Num1"/>
  </w:style>
  <w:style w:type="paragraph" w:customStyle="1" w:styleId="Standard">
    <w:name w:val="Standard"/>
    <w:qFormat/>
    <w:rsid w:val="00556827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tabs>
        <w:tab w:val="left" w:pos="0"/>
      </w:tabs>
      <w:outlineLvl w:val="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7">
    <w:name w:val="WW8Num8z7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4">
    <w:name w:val="WW8Num8z4"/>
    <w:qFormat/>
  </w:style>
  <w:style w:type="character" w:customStyle="1" w:styleId="2">
    <w:name w:val="Основной шрифт абзаца2"/>
    <w:qFormat/>
  </w:style>
  <w:style w:type="character" w:customStyle="1" w:styleId="WW8Num8z6">
    <w:name w:val="WW8Num8z6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8z5">
    <w:name w:val="WW8Num8z5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19z8">
    <w:name w:val="WW8Num19z8"/>
    <w:qFormat/>
  </w:style>
  <w:style w:type="character" w:customStyle="1" w:styleId="WW8Num19z0">
    <w:name w:val="WW8Num19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8z3">
    <w:name w:val="WW8Num8z3"/>
    <w:qFormat/>
  </w:style>
  <w:style w:type="character" w:customStyle="1" w:styleId="WW8Num4z0">
    <w:name w:val="WW8Num4z0"/>
    <w:qFormat/>
  </w:style>
  <w:style w:type="character" w:customStyle="1" w:styleId="WW8Num8z8">
    <w:name w:val="WW8Num8z8"/>
    <w:qFormat/>
  </w:style>
  <w:style w:type="character" w:customStyle="1" w:styleId="WW8Num8z0">
    <w:name w:val="WW8Num8z0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8z2">
    <w:name w:val="WW8Num8z2"/>
    <w:qFormat/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19z2">
    <w:name w:val="WW8Num19z2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19z3">
    <w:name w:val="WW8Num19z3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19z4">
    <w:name w:val="WW8Num19z4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customStyle="1" w:styleId="WW8Num19z5">
    <w:name w:val="WW8Num19z5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apple-converted-space">
    <w:name w:val="apple-converted-space"/>
    <w:qFormat/>
  </w:style>
  <w:style w:type="character" w:customStyle="1" w:styleId="WW8Num19z6">
    <w:name w:val="WW8Num19z6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WW8Num19z7">
    <w:name w:val="WW8Num19z7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-">
    <w:name w:val="Интернет-ссылка"/>
    <w:basedOn w:val="2"/>
    <w:rPr>
      <w:color w:val="5292C1"/>
      <w:u w:val="single"/>
    </w:rPr>
  </w:style>
  <w:style w:type="character" w:customStyle="1" w:styleId="a4">
    <w:name w:val="Символ нумерации"/>
    <w:qFormat/>
  </w:style>
  <w:style w:type="character" w:styleId="a5">
    <w:name w:val="Emphasis"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qFormat/>
  </w:style>
  <w:style w:type="paragraph" w:styleId="af2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pPr>
      <w:suppressLineNumbers/>
      <w:tabs>
        <w:tab w:val="center" w:pos="4698"/>
        <w:tab w:val="right" w:pos="9396"/>
      </w:tabs>
    </w:pPr>
  </w:style>
  <w:style w:type="paragraph" w:customStyle="1" w:styleId="13">
    <w:name w:val="Обычный (веб)1"/>
    <w:basedOn w:val="a"/>
    <w:qFormat/>
    <w:pPr>
      <w:suppressAutoHyphens/>
      <w:spacing w:before="280" w:after="280"/>
    </w:pPr>
    <w:rPr>
      <w:rFonts w:cs="Calibri"/>
      <w:sz w:val="24"/>
      <w:szCs w:val="24"/>
    </w:rPr>
  </w:style>
  <w:style w:type="paragraph" w:styleId="af4">
    <w:name w:val="Normal (Web)"/>
    <w:basedOn w:val="a"/>
    <w:qFormat/>
    <w:pPr>
      <w:spacing w:before="280" w:after="280"/>
    </w:pPr>
    <w:rPr>
      <w:sz w:val="24"/>
      <w:szCs w:val="24"/>
      <w:lang w:eastAsia="ru-RU"/>
    </w:rPr>
  </w:style>
  <w:style w:type="numbering" w:customStyle="1" w:styleId="WW8Num1">
    <w:name w:val="WW8Num1"/>
  </w:style>
  <w:style w:type="paragraph" w:customStyle="1" w:styleId="Standard">
    <w:name w:val="Standard"/>
    <w:qFormat/>
    <w:rsid w:val="00556827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2020-10-22T11:25:00Z</cp:lastPrinted>
  <dcterms:created xsi:type="dcterms:W3CDTF">2022-08-15T09:07:00Z</dcterms:created>
  <dcterms:modified xsi:type="dcterms:W3CDTF">2022-08-15T09:07:00Z</dcterms:modified>
  <dc:language>ru-RU</dc:language>
</cp:coreProperties>
</file>