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4140" w:leader="none"/>
        </w:tabs>
        <w:jc w:val="center"/>
        <w:rPr/>
      </w:pPr>
      <w:r>
        <w:rPr/>
      </w:r>
    </w:p>
    <w:p>
      <w:pPr>
        <w:pStyle w:val="Normal"/>
        <w:tabs>
          <w:tab w:val="left" w:pos="4140" w:leader="none"/>
        </w:tabs>
        <w:jc w:val="center"/>
        <w:rPr>
          <w:spacing w:val="120"/>
          <w:sz w:val="16"/>
          <w:szCs w:val="16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64845" cy="80264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64200" cy="80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3.2pt;width:52.25pt;height:63.1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16"/>
        <w:jc w:val="both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</w:r>
    </w:p>
    <w:p>
      <w:pPr>
        <w:pStyle w:val="Style18"/>
        <w:rPr>
          <w:sz w:val="28"/>
          <w:szCs w:val="28"/>
        </w:rPr>
      </w:pPr>
      <w:r>
        <w:rPr>
          <w:sz w:val="24"/>
          <w:szCs w:val="24"/>
        </w:rPr>
        <w:t xml:space="preserve">АДМИНИСТРАЦИЯ НИКОЛЬСКОГО </w:t>
      </w:r>
    </w:p>
    <w:p>
      <w:pPr>
        <w:pStyle w:val="Style18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>
      <w:pPr>
        <w:pStyle w:val="Style18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Style18"/>
        <w:rPr>
          <w:sz w:val="28"/>
          <w:szCs w:val="28"/>
        </w:rPr>
      </w:pPr>
      <w:r>
        <w:rPr>
          <w:sz w:val="24"/>
          <w:szCs w:val="24"/>
        </w:rPr>
        <w:t>ПОСТАНОВЛЕНИЕ</w:t>
      </w:r>
    </w:p>
    <w:p>
      <w:pPr>
        <w:pStyle w:val="Style18"/>
        <w:rPr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Style18"/>
        <w:ind w:left="1134" w:hanging="1134"/>
        <w:jc w:val="left"/>
        <w:rPr>
          <w:sz w:val="24"/>
          <w:szCs w:val="24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>25.12.2020 года</w:t>
      </w:r>
      <w:r>
        <w:rPr>
          <w:b w:val="false"/>
          <w:spacing w:val="0"/>
          <w:sz w:val="24"/>
          <w:szCs w:val="24"/>
        </w:rPr>
        <w:tab/>
        <w:tab/>
        <w:t xml:space="preserve">                                                                                                   № </w:t>
      </w:r>
      <w:r>
        <w:rPr>
          <w:b w:val="false"/>
          <w:spacing w:val="0"/>
          <w:sz w:val="24"/>
          <w:szCs w:val="24"/>
        </w:rPr>
        <w:t>1208</w:t>
      </w:r>
    </w:p>
    <w:p>
      <w:pPr>
        <w:pStyle w:val="Style18"/>
        <w:ind w:left="1134" w:hanging="1134"/>
        <w:jc w:val="left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4"/>
          <w:szCs w:val="24"/>
        </w:rPr>
        <w:t xml:space="preserve"> </w:t>
      </w:r>
    </w:p>
    <w:p>
      <w:pPr>
        <w:pStyle w:val="Style18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4"/>
          <w:szCs w:val="24"/>
        </w:rPr>
        <w:t>г. Никольск</w:t>
      </w:r>
    </w:p>
    <w:p>
      <w:pPr>
        <w:pStyle w:val="Style18"/>
        <w:rPr>
          <w:b w:val="false"/>
          <w:b w:val="false"/>
          <w:spacing w:val="0"/>
          <w:sz w:val="24"/>
          <w:szCs w:val="24"/>
        </w:rPr>
      </w:pPr>
      <w:r>
        <w:rPr>
          <w:b w:val="false"/>
          <w:spacing w:val="0"/>
          <w:sz w:val="24"/>
          <w:szCs w:val="24"/>
        </w:rPr>
      </w:r>
    </w:p>
    <w:p>
      <w:pPr>
        <w:pStyle w:val="Style18"/>
        <w:jc w:val="left"/>
        <w:rPr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>О внесении изменений в муниципальную</w:t>
      </w:r>
    </w:p>
    <w:p>
      <w:pPr>
        <w:pStyle w:val="Style18"/>
        <w:jc w:val="left"/>
        <w:rPr>
          <w:b w:val="false"/>
          <w:b w:val="false"/>
          <w:spacing w:val="0"/>
          <w:sz w:val="22"/>
          <w:szCs w:val="22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 xml:space="preserve">программу «Реализация молодежной </w:t>
      </w:r>
      <w:r>
        <w:rPr>
          <w:b w:val="false"/>
          <w:spacing w:val="0"/>
          <w:sz w:val="24"/>
          <w:szCs w:val="24"/>
        </w:rPr>
        <w:t xml:space="preserve">политики </w:t>
      </w:r>
    </w:p>
    <w:p>
      <w:pPr>
        <w:pStyle w:val="Style18"/>
        <w:jc w:val="left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4"/>
          <w:szCs w:val="24"/>
        </w:rPr>
        <w:t xml:space="preserve">на территории Никольского муниципального </w:t>
      </w:r>
    </w:p>
    <w:p>
      <w:pPr>
        <w:pStyle w:val="Style18"/>
        <w:jc w:val="left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4"/>
          <w:szCs w:val="24"/>
        </w:rPr>
        <w:t>района на 2020-2025 годы»</w:t>
      </w:r>
    </w:p>
    <w:p>
      <w:pPr>
        <w:pStyle w:val="Style18"/>
        <w:jc w:val="left"/>
        <w:rPr>
          <w:b w:val="false"/>
          <w:b w:val="false"/>
          <w:spacing w:val="0"/>
          <w:sz w:val="24"/>
          <w:szCs w:val="24"/>
        </w:rPr>
      </w:pPr>
      <w:r>
        <w:rPr>
          <w:b w:val="false"/>
          <w:spacing w:val="0"/>
          <w:sz w:val="24"/>
          <w:szCs w:val="24"/>
        </w:rPr>
      </w:r>
    </w:p>
    <w:p>
      <w:pPr>
        <w:pStyle w:val="Style18"/>
        <w:ind w:firstLine="709"/>
        <w:jc w:val="both"/>
        <w:rPr>
          <w:b w:val="false"/>
          <w:b w:val="false"/>
          <w:bCs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</w:t>
      </w:r>
      <w:r>
        <w:rPr>
          <w:b w:val="false"/>
          <w:spacing w:val="2"/>
          <w:sz w:val="24"/>
          <w:szCs w:val="24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>
        <w:rPr>
          <w:b w:val="false"/>
          <w:bCs w:val="false"/>
          <w:spacing w:val="0"/>
          <w:sz w:val="24"/>
          <w:szCs w:val="24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>
        <w:rPr>
          <w:b w:val="false"/>
          <w:bCs w:val="false"/>
          <w:spacing w:val="2"/>
          <w:sz w:val="24"/>
          <w:szCs w:val="24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 № 102, администрация Никольского муниципального района,</w:t>
      </w:r>
    </w:p>
    <w:p>
      <w:pPr>
        <w:pStyle w:val="Style18"/>
        <w:ind w:firstLine="709"/>
        <w:jc w:val="both"/>
        <w:rPr>
          <w:b w:val="false"/>
          <w:b w:val="false"/>
          <w:bCs w:val="false"/>
          <w:spacing w:val="2"/>
          <w:sz w:val="22"/>
          <w:szCs w:val="22"/>
        </w:rPr>
      </w:pPr>
      <w:r>
        <w:rPr>
          <w:b w:val="false"/>
          <w:bCs w:val="false"/>
          <w:spacing w:val="2"/>
          <w:sz w:val="24"/>
          <w:szCs w:val="24"/>
        </w:rPr>
        <w:t xml:space="preserve"> </w:t>
      </w:r>
    </w:p>
    <w:p>
      <w:pPr>
        <w:pStyle w:val="Style18"/>
        <w:ind w:firstLine="709"/>
        <w:jc w:val="both"/>
        <w:rPr>
          <w:b w:val="false"/>
          <w:b w:val="false"/>
          <w:bCs w:val="false"/>
          <w:spacing w:val="2"/>
          <w:sz w:val="22"/>
          <w:szCs w:val="22"/>
        </w:rPr>
      </w:pPr>
      <w:r>
        <w:rPr>
          <w:b w:val="false"/>
          <w:bCs w:val="false"/>
          <w:spacing w:val="2"/>
          <w:sz w:val="24"/>
          <w:szCs w:val="24"/>
        </w:rPr>
        <w:t>ПОСТАНОВЛЯЕТ:</w:t>
      </w:r>
    </w:p>
    <w:p>
      <w:pPr>
        <w:pStyle w:val="Style18"/>
        <w:ind w:firstLine="709"/>
        <w:jc w:val="both"/>
        <w:rPr>
          <w:b w:val="false"/>
          <w:b w:val="false"/>
          <w:bCs w:val="false"/>
          <w:spacing w:val="2"/>
          <w:sz w:val="24"/>
          <w:szCs w:val="24"/>
        </w:rPr>
      </w:pPr>
      <w:r>
        <w:rPr>
          <w:b w:val="false"/>
          <w:bCs w:val="false"/>
          <w:spacing w:val="2"/>
          <w:sz w:val="24"/>
          <w:szCs w:val="24"/>
        </w:rPr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bCs w:val="false"/>
          <w:spacing w:val="2"/>
          <w:sz w:val="24"/>
          <w:szCs w:val="24"/>
        </w:rPr>
        <w:t xml:space="preserve">1. Внести в </w:t>
      </w:r>
      <w:r>
        <w:rPr>
          <w:b w:val="false"/>
          <w:spacing w:val="2"/>
          <w:sz w:val="24"/>
          <w:szCs w:val="24"/>
        </w:rPr>
        <w:t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№757 (далее муниципальная программа) следующие изменения: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1.1. Строку 10 Паспорта муниципальной программы изложить в новой редакции: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Объем финансового обеспечения программы объем бюджетных ассигнований на реализацию муниципальной  программы  – 1651,1 тыс. рублей, в том числе по годам: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2020 год – 201,1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2021 год - 290,0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2022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2023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2024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2025 год – 290,0 тыс. рублей, 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в том числе за счет средств районного бюджета – 1651,1 тыс. рублей, в том числе по годам реализации: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2020 год – 201,1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2021 год - 290,0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2022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2023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2024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2025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4"/>
          <w:szCs w:val="24"/>
        </w:rPr>
      </w:pPr>
      <w:r>
        <w:rPr>
          <w:b w:val="false"/>
          <w:spacing w:val="2"/>
          <w:sz w:val="24"/>
          <w:szCs w:val="24"/>
        </w:rPr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1.2. Раздел 3 Паспорта муниципальной программы изложить в новой редакции: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>Объем средств районного бюджета, необходимых для реализации муниципальной программы, составляет 1651,1  тыс. рублей, в том числе по годам: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2020 год – 201,1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2021 год - 290,0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2022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2023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2024 год – 290,0 тыс. рублей</w:t>
      </w:r>
    </w:p>
    <w:p>
      <w:pPr>
        <w:pStyle w:val="Style18"/>
        <w:ind w:firstLine="709"/>
        <w:jc w:val="both"/>
        <w:rPr>
          <w:b w:val="false"/>
          <w:b w:val="false"/>
          <w:spacing w:val="2"/>
          <w:sz w:val="22"/>
          <w:szCs w:val="22"/>
        </w:rPr>
      </w:pPr>
      <w:r>
        <w:rPr>
          <w:b w:val="false"/>
          <w:spacing w:val="2"/>
          <w:sz w:val="24"/>
          <w:szCs w:val="24"/>
        </w:rPr>
        <w:t xml:space="preserve">   </w:t>
      </w:r>
      <w:r>
        <w:rPr>
          <w:b w:val="false"/>
          <w:spacing w:val="2"/>
          <w:sz w:val="24"/>
          <w:szCs w:val="24"/>
        </w:rPr>
        <w:t>2025 год – 290,0 тыс. рублей</w:t>
      </w:r>
    </w:p>
    <w:p>
      <w:pPr>
        <w:pStyle w:val="Style18"/>
        <w:ind w:firstLine="709"/>
        <w:jc w:val="both"/>
        <w:rPr>
          <w:sz w:val="24"/>
          <w:szCs w:val="24"/>
        </w:rPr>
      </w:pPr>
      <w:r>
        <w:rPr>
          <w:b w:val="false"/>
          <w:spacing w:val="2"/>
          <w:sz w:val="24"/>
          <w:szCs w:val="24"/>
        </w:rPr>
        <w:t>Сведения о расходах районного бюджета на реализацию муниципальной программы представлены в приложении 3 к муниципальной программе.</w:t>
      </w:r>
    </w:p>
    <w:p>
      <w:pPr>
        <w:pStyle w:val="Style18"/>
        <w:ind w:firstLine="709"/>
        <w:jc w:val="both"/>
        <w:rPr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b w:val="false"/>
          <w:spacing w:val="2"/>
          <w:sz w:val="24"/>
          <w:szCs w:val="24"/>
        </w:rPr>
        <w:t>1.3. 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к настоящему постановлению.</w:t>
      </w:r>
    </w:p>
    <w:p>
      <w:pPr>
        <w:pStyle w:val="Style18"/>
        <w:ind w:firstLine="709"/>
        <w:jc w:val="both"/>
        <w:rPr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>2.  Настоящее постановление вступает в силу после официального опубликования на сайте администрации Никольского муниципального района в информационно-телекоммуникационной сети «Интернет» и газете «Авангард»</w:t>
      </w:r>
    </w:p>
    <w:p>
      <w:pPr>
        <w:pStyle w:val="Style18"/>
        <w:jc w:val="both"/>
        <w:rPr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</w:r>
    </w:p>
    <w:p>
      <w:pPr>
        <w:pStyle w:val="Style18"/>
        <w:jc w:val="both"/>
        <w:rPr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</w:r>
    </w:p>
    <w:p>
      <w:pPr>
        <w:pStyle w:val="Style18"/>
        <w:jc w:val="both"/>
        <w:rPr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</w:r>
    </w:p>
    <w:p>
      <w:pPr>
        <w:pStyle w:val="Style18"/>
        <w:jc w:val="left"/>
        <w:rPr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 xml:space="preserve">Руководитель администрации              </w:t>
      </w:r>
    </w:p>
    <w:p>
      <w:pPr>
        <w:pStyle w:val="Style18"/>
        <w:jc w:val="left"/>
        <w:rPr>
          <w:sz w:val="24"/>
          <w:szCs w:val="24"/>
        </w:rPr>
      </w:pPr>
      <w:r>
        <w:rPr>
          <w:b w:val="false"/>
          <w:bCs w:val="false"/>
          <w:color w:val="000000"/>
          <w:spacing w:val="0"/>
          <w:sz w:val="24"/>
          <w:szCs w:val="24"/>
        </w:rPr>
        <w:t>Никольского муниципального района                                                                      А.Н. Баданина</w:t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3</w:t>
      </w:r>
    </w:p>
    <w:p>
      <w:pPr>
        <w:pStyle w:val="Normal"/>
        <w:jc w:val="right"/>
        <w:rPr>
          <w:b/>
          <w:b/>
        </w:rPr>
      </w:pPr>
      <w:r>
        <w:rPr>
          <w:sz w:val="20"/>
          <w:szCs w:val="20"/>
        </w:rPr>
        <w:t>к муниципальной программе</w:t>
      </w:r>
    </w:p>
    <w:p>
      <w:pPr>
        <w:pStyle w:val="Normal"/>
        <w:jc w:val="center"/>
        <w:rPr/>
      </w:pPr>
      <w:r>
        <w:rPr>
          <w:b/>
        </w:rPr>
        <w:t>Финансовое обеспечение</w:t>
      </w:r>
    </w:p>
    <w:p>
      <w:pPr>
        <w:pStyle w:val="Normal"/>
        <w:jc w:val="center"/>
        <w:rPr>
          <w:sz w:val="20"/>
          <w:szCs w:val="20"/>
        </w:rPr>
      </w:pPr>
      <w:r>
        <w:rPr/>
        <w:t>реализации муниципальной программы за счет средств районного бюджета</w:t>
      </w:r>
    </w:p>
    <w:tbl>
      <w:tblPr>
        <w:tblW w:w="16128" w:type="dxa"/>
        <w:jc w:val="left"/>
        <w:tblInd w:w="-10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4" w:type="dxa"/>
          <w:bottom w:w="0" w:type="dxa"/>
          <w:right w:w="74" w:type="dxa"/>
        </w:tblCellMar>
        <w:tblLook w:firstRow="0" w:noVBand="0" w:lastRow="0" w:firstColumn="0" w:lastColumn="0" w:noHBand="0" w:val="0000"/>
      </w:tblPr>
      <w:tblGrid>
        <w:gridCol w:w="1590"/>
        <w:gridCol w:w="2037"/>
        <w:gridCol w:w="1893"/>
        <w:gridCol w:w="1440"/>
        <w:gridCol w:w="4321"/>
        <w:gridCol w:w="719"/>
        <w:gridCol w:w="668"/>
        <w:gridCol w:w="627"/>
        <w:gridCol w:w="670"/>
        <w:gridCol w:w="680"/>
        <w:gridCol w:w="628"/>
        <w:gridCol w:w="854"/>
      </w:tblGrid>
      <w:tr>
        <w:trPr>
          <w:cantSplit w:val="true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4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8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2020-2025 год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cantSplit w:val="true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1651,1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1651,1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1127,2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1127,2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491,4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491,4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0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39,0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39,0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«Создание и развитие условий для патриотического воспитания граждан»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1012,0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1012,0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803,3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803,3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76,2</w:t>
            </w:r>
          </w:p>
        </w:tc>
      </w:tr>
      <w:tr>
        <w:trPr>
          <w:trHeight w:val="29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176,2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0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7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280" w:after="0"/>
              <w:rPr/>
            </w:pPr>
            <w:r>
              <w:rPr>
                <w:color w:val="000000"/>
                <w:sz w:val="20"/>
                <w:szCs w:val="20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32,5</w:t>
            </w:r>
          </w:p>
        </w:tc>
      </w:tr>
      <w:tr>
        <w:trPr>
          <w:trHeight w:val="25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32,5</w:t>
            </w:r>
          </w:p>
        </w:tc>
      </w:tr>
      <w:tr>
        <w:trPr>
          <w:trHeight w:val="45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bookmarkStart w:id="0" w:name="_GoBack"/>
            <w:bookmarkEnd w:id="0"/>
            <w:r>
              <w:rPr>
                <w:sz w:val="20"/>
                <w:szCs w:val="20"/>
              </w:rPr>
              <w:t>29,5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286,5</w:t>
            </w:r>
          </w:p>
        </w:tc>
      </w:tr>
      <w:tr>
        <w:trPr>
          <w:trHeight w:val="17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286,5</w:t>
            </w:r>
          </w:p>
        </w:tc>
      </w:tr>
      <w:tr>
        <w:trPr>
          <w:trHeight w:val="33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76,7</w:t>
            </w:r>
          </w:p>
        </w:tc>
      </w:tr>
      <w:tr>
        <w:trPr>
          <w:trHeight w:val="24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76,7</w:t>
            </w:r>
          </w:p>
        </w:tc>
      </w:tr>
      <w:tr>
        <w:trPr>
          <w:trHeight w:val="231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32,5</w:t>
            </w:r>
          </w:p>
        </w:tc>
      </w:tr>
      <w:tr>
        <w:trPr>
          <w:trHeight w:val="19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32,5</w:t>
            </w:r>
          </w:p>
        </w:tc>
      </w:tr>
      <w:tr>
        <w:trPr>
          <w:trHeight w:val="16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33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17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7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</w:tr>
      <w:tr>
        <w:trPr>
          <w:trHeight w:val="24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</w:tr>
      <w:tr>
        <w:trPr>
          <w:trHeight w:val="20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216,0</w:t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216,0</w:t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99,5</w:t>
            </w:r>
          </w:p>
        </w:tc>
      </w:tr>
      <w:tr>
        <w:trPr>
          <w:trHeight w:val="53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99,5</w:t>
            </w:r>
          </w:p>
        </w:tc>
      </w:tr>
      <w:tr>
        <w:trPr>
          <w:trHeight w:val="20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«Активизация и 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85,8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85,8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21,6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21,6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64,2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64,2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218,0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218,0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83,0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83,0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135,0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135,0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43,8</w:t>
            </w:r>
          </w:p>
        </w:tc>
      </w:tr>
      <w:tr>
        <w:trPr>
          <w:trHeight w:val="32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43,8</w:t>
            </w:r>
          </w:p>
        </w:tc>
      </w:tr>
      <w:tr>
        <w:trPr>
          <w:trHeight w:val="32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135,0</w:t>
            </w:r>
          </w:p>
        </w:tc>
      </w:tr>
      <w:tr>
        <w:trPr>
          <w:trHeight w:val="29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135,0</w:t>
            </w:r>
          </w:p>
        </w:tc>
      </w:tr>
      <w:tr>
        <w:trPr>
          <w:trHeight w:val="29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39,2</w:t>
            </w:r>
          </w:p>
        </w:tc>
      </w:tr>
      <w:tr>
        <w:trPr>
          <w:trHeight w:val="272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39,2</w:t>
            </w:r>
          </w:p>
        </w:tc>
      </w:tr>
      <w:tr>
        <w:trPr>
          <w:trHeight w:val="32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335,3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335,3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211,0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211,0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116,0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116,0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</w:tr>
      <w:tr>
        <w:trPr>
          <w:trHeight w:val="24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</w:tr>
      <w:tr>
        <w:trPr>
          <w:trHeight w:val="28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2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4.2 Участие в 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153,3</w:t>
            </w:r>
          </w:p>
        </w:tc>
      </w:tr>
      <w:tr>
        <w:trPr>
          <w:trHeight w:val="24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153,3</w:t>
            </w:r>
          </w:p>
        </w:tc>
      </w:tr>
      <w:tr>
        <w:trPr>
          <w:trHeight w:val="25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7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381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244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</w:tr>
      <w:tr>
        <w:trPr>
          <w:trHeight w:val="340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56,0</w:t>
            </w:r>
          </w:p>
        </w:tc>
      </w:tr>
      <w:tr>
        <w:trPr>
          <w:trHeight w:val="230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9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b/>
      <w:bCs/>
      <w:spacing w:val="120"/>
      <w:sz w:val="32"/>
      <w:szCs w:val="24"/>
      <w:lang w:val="ru-RU" w:eastAsia="zh-CN" w:bidi="ar-SA"/>
    </w:rPr>
  </w:style>
  <w:style w:type="character" w:styleId="ConsPlusNormal" w:customStyle="1">
    <w:name w:val="ConsPlusNormal Знак"/>
    <w:qFormat/>
    <w:rPr>
      <w:rFonts w:ascii="Arial" w:hAnsi="Arial" w:cs="Arial"/>
      <w:lang w:eastAsia="zh-CN" w:bidi="ar-SA"/>
    </w:rPr>
  </w:style>
  <w:style w:type="character" w:styleId="Style15">
    <w:name w:val="Интернет-ссылка"/>
    <w:rPr>
      <w:color w:val="0000FF"/>
      <w:u w:val="single"/>
    </w:rPr>
  </w:style>
  <w:style w:type="character" w:styleId="3" w:customStyle="1">
    <w:name w:val="Знак Знак3"/>
    <w:qFormat/>
    <w:rPr>
      <w:b/>
      <w:bCs/>
      <w:spacing w:val="120"/>
      <w:sz w:val="32"/>
      <w:szCs w:val="24"/>
    </w:rPr>
  </w:style>
  <w:style w:type="character" w:styleId="Style16" w:customStyle="1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jc w:val="center"/>
    </w:pPr>
    <w:rPr>
      <w:b/>
      <w:bCs/>
      <w:spacing w:val="120"/>
      <w:sz w:val="32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eastAsia="zh-CN" w:val="ru-RU" w:bidi="ar-SA"/>
    </w:rPr>
  </w:style>
  <w:style w:type="paragraph" w:styleId="13" w:customStyle="1">
    <w:name w:val="Абзац списка1"/>
    <w:basedOn w:val="Normal"/>
    <w:qFormat/>
    <w:pPr>
      <w:widowControl w:val="false"/>
      <w:spacing w:lineRule="auto" w:line="360" w:before="0" w:after="120"/>
      <w:ind w:left="720" w:firstLine="709"/>
      <w:contextualSpacing/>
    </w:pPr>
    <w:rPr>
      <w:rFonts w:ascii="Liberation Serif" w:hAnsi="Liberation Serif" w:eastAsia="SimSun" w:cs="Mangal"/>
      <w:lang w:bidi="hi-IN"/>
    </w:rPr>
  </w:style>
  <w:style w:type="paragraph" w:styleId="Western" w:customStyle="1">
    <w:name w:val="western"/>
    <w:basedOn w:val="Normal"/>
    <w:qFormat/>
    <w:pPr>
      <w:spacing w:lineRule="auto" w:line="288" w:before="280" w:after="142"/>
      <w:jc w:val="both"/>
    </w:pPr>
    <w:rPr>
      <w:color w:val="000000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88" w:before="280" w:after="142"/>
      <w:jc w:val="both"/>
    </w:pPr>
    <w:rPr>
      <w:color w:val="000000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1EC3-7470-49BC-AD72-7CFDFBD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LibreOffice/5.0.6.3$Windows_x86 LibreOffice_project/490fc03b25318460cfc54456516ea2519c11d1aa</Application>
  <Paragraphs>728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2020-11-23T08:01:00Z</dcterms:created>
  <dc:creator>User</dc:creator>
  <dc:language>ru-RU</dc:language>
  <dcterms:modified xsi:type="dcterms:W3CDTF">2020-12-28T08:01:08Z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