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7E0265" w:rsidRPr="007E0265">
        <w:rPr>
          <w:sz w:val="26"/>
          <w:szCs w:val="26"/>
        </w:rPr>
        <w:t xml:space="preserve">предоставления муниципальной услуги по  предварительному согласованию </w:t>
      </w:r>
      <w:proofErr w:type="spellStart"/>
      <w:proofErr w:type="gramStart"/>
      <w:r w:rsidR="007E0265" w:rsidRPr="007E0265">
        <w:rPr>
          <w:sz w:val="26"/>
          <w:szCs w:val="26"/>
        </w:rPr>
        <w:t>предостав-ления</w:t>
      </w:r>
      <w:proofErr w:type="spellEnd"/>
      <w:proofErr w:type="gramEnd"/>
      <w:r w:rsidR="007E0265" w:rsidRPr="007E0265">
        <w:rPr>
          <w:sz w:val="26"/>
          <w:szCs w:val="26"/>
        </w:rPr>
        <w:t xml:space="preserve"> земельных участков из фонда </w:t>
      </w:r>
      <w:proofErr w:type="spellStart"/>
      <w:r w:rsidR="007E0265" w:rsidRPr="007E0265">
        <w:rPr>
          <w:sz w:val="26"/>
          <w:szCs w:val="26"/>
        </w:rPr>
        <w:t>перерас-пределения</w:t>
      </w:r>
      <w:proofErr w:type="spellEnd"/>
      <w:r w:rsidR="007E0265" w:rsidRPr="007E0265">
        <w:rPr>
          <w:sz w:val="26"/>
          <w:szCs w:val="26"/>
        </w:rPr>
        <w:t xml:space="preserve"> земель сельскохозяйственного назначения, находящихся в муниципальной собственности или государственной </w:t>
      </w:r>
      <w:proofErr w:type="spellStart"/>
      <w:r w:rsidR="007E0265" w:rsidRPr="007E0265">
        <w:rPr>
          <w:sz w:val="26"/>
          <w:szCs w:val="26"/>
        </w:rPr>
        <w:t>неразграниченной</w:t>
      </w:r>
      <w:proofErr w:type="spellEnd"/>
      <w:r w:rsidR="007E0265" w:rsidRPr="007E0265">
        <w:rPr>
          <w:sz w:val="26"/>
          <w:szCs w:val="26"/>
        </w:rPr>
        <w:t xml:space="preserve"> собственности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E0265">
        <w:rPr>
          <w:color w:val="000000" w:themeColor="text1"/>
          <w:sz w:val="26"/>
          <w:szCs w:val="26"/>
        </w:rPr>
        <w:t>15.03.2019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7E0265">
        <w:rPr>
          <w:color w:val="000000" w:themeColor="text1"/>
          <w:sz w:val="26"/>
          <w:szCs w:val="26"/>
        </w:rPr>
        <w:t>210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7E0265" w:rsidRPr="00D876E7">
        <w:rPr>
          <w:sz w:val="26"/>
          <w:szCs w:val="26"/>
        </w:rPr>
        <w:t xml:space="preserve">административный регламент </w:t>
      </w:r>
      <w:r w:rsidR="007E0265" w:rsidRPr="007E0265">
        <w:rPr>
          <w:sz w:val="26"/>
          <w:szCs w:val="26"/>
        </w:rPr>
        <w:t>предоставления муниципальной услуги по  предварительному согласованию предоставления земе</w:t>
      </w:r>
      <w:r w:rsidR="007E0265">
        <w:rPr>
          <w:sz w:val="26"/>
          <w:szCs w:val="26"/>
        </w:rPr>
        <w:t>льных участков из фонда перерас</w:t>
      </w:r>
      <w:r w:rsidR="007E0265" w:rsidRPr="007E0265">
        <w:rPr>
          <w:sz w:val="26"/>
          <w:szCs w:val="26"/>
        </w:rPr>
        <w:t xml:space="preserve">пределения земель сельскохозяйственного назначения, находящихся в муниципальной собственности или государственной </w:t>
      </w:r>
      <w:proofErr w:type="spellStart"/>
      <w:r w:rsidR="007E0265" w:rsidRPr="007E0265">
        <w:rPr>
          <w:sz w:val="26"/>
          <w:szCs w:val="26"/>
        </w:rPr>
        <w:t>неразграниченной</w:t>
      </w:r>
      <w:proofErr w:type="spellEnd"/>
      <w:r w:rsidR="007E0265" w:rsidRPr="007E0265">
        <w:rPr>
          <w:sz w:val="26"/>
          <w:szCs w:val="26"/>
        </w:rPr>
        <w:t xml:space="preserve"> собственности</w:t>
      </w:r>
      <w:r w:rsidR="007E026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E0265">
        <w:rPr>
          <w:color w:val="000000" w:themeColor="text1"/>
          <w:sz w:val="26"/>
          <w:szCs w:val="26"/>
        </w:rPr>
        <w:t>15.03.2019</w:t>
      </w:r>
      <w:r w:rsidR="007E0265" w:rsidRPr="00D876E7">
        <w:rPr>
          <w:color w:val="000000" w:themeColor="text1"/>
          <w:sz w:val="26"/>
          <w:szCs w:val="26"/>
        </w:rPr>
        <w:t xml:space="preserve"> №</w:t>
      </w:r>
      <w:r w:rsidR="007E0265">
        <w:rPr>
          <w:color w:val="000000" w:themeColor="text1"/>
          <w:sz w:val="26"/>
          <w:szCs w:val="26"/>
        </w:rPr>
        <w:t>210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7E0265" w:rsidRDefault="007E0265" w:rsidP="007E026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Pr="00F50D10">
        <w:rPr>
          <w:color w:val="000000" w:themeColor="text1"/>
          <w:sz w:val="26"/>
          <w:szCs w:val="26"/>
        </w:rPr>
        <w:t xml:space="preserve">в абзаце </w:t>
      </w:r>
      <w:r>
        <w:rPr>
          <w:color w:val="000000" w:themeColor="text1"/>
          <w:sz w:val="26"/>
          <w:szCs w:val="26"/>
        </w:rPr>
        <w:t>6 пункта 1.4 с</w:t>
      </w:r>
      <w:r w:rsidRPr="00F50D10">
        <w:rPr>
          <w:color w:val="000000" w:themeColor="text1"/>
          <w:sz w:val="26"/>
          <w:szCs w:val="26"/>
        </w:rPr>
        <w:t>лов</w:t>
      </w:r>
      <w:r>
        <w:rPr>
          <w:color w:val="000000" w:themeColor="text1"/>
          <w:sz w:val="26"/>
          <w:szCs w:val="26"/>
        </w:rPr>
        <w:t>о</w:t>
      </w:r>
      <w:r w:rsidRPr="00F50D10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МФЦ</w:t>
      </w:r>
      <w:r w:rsidRPr="00F50D10">
        <w:rPr>
          <w:color w:val="000000" w:themeColor="text1"/>
          <w:sz w:val="26"/>
          <w:szCs w:val="26"/>
        </w:rPr>
        <w:t>» заменить словами «</w:t>
      </w:r>
      <w:r w:rsidRPr="007E0265">
        <w:rPr>
          <w:color w:val="000000" w:themeColor="text1"/>
          <w:sz w:val="26"/>
          <w:szCs w:val="26"/>
        </w:rPr>
        <w:t>многофункциональн</w:t>
      </w:r>
      <w:r>
        <w:rPr>
          <w:color w:val="000000" w:themeColor="text1"/>
          <w:sz w:val="26"/>
          <w:szCs w:val="26"/>
        </w:rPr>
        <w:t>ого</w:t>
      </w:r>
      <w:r w:rsidRPr="007E0265">
        <w:rPr>
          <w:color w:val="000000" w:themeColor="text1"/>
          <w:sz w:val="26"/>
          <w:szCs w:val="26"/>
        </w:rPr>
        <w:t xml:space="preserve"> центр</w:t>
      </w:r>
      <w:r>
        <w:rPr>
          <w:color w:val="000000" w:themeColor="text1"/>
          <w:sz w:val="26"/>
          <w:szCs w:val="26"/>
        </w:rPr>
        <w:t>а</w:t>
      </w:r>
      <w:r w:rsidRPr="007E0265">
        <w:rPr>
          <w:color w:val="000000" w:themeColor="text1"/>
          <w:sz w:val="26"/>
          <w:szCs w:val="26"/>
        </w:rPr>
        <w:t xml:space="preserve"> предоставления государственных и муниципальных услуг (далее </w:t>
      </w:r>
      <w:r>
        <w:rPr>
          <w:color w:val="000000" w:themeColor="text1"/>
          <w:sz w:val="26"/>
          <w:szCs w:val="26"/>
        </w:rPr>
        <w:t>–</w:t>
      </w:r>
      <w:r w:rsidRPr="007E0265">
        <w:rPr>
          <w:color w:val="000000" w:themeColor="text1"/>
          <w:sz w:val="26"/>
          <w:szCs w:val="26"/>
        </w:rPr>
        <w:t xml:space="preserve"> МФЦ)</w:t>
      </w:r>
      <w:r w:rsidRPr="00F50D10">
        <w:rPr>
          <w:color w:val="000000" w:themeColor="text1"/>
          <w:sz w:val="26"/>
          <w:szCs w:val="26"/>
        </w:rPr>
        <w:t>»;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7E0265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.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7E0265">
        <w:rPr>
          <w:color w:val="000000" w:themeColor="text1"/>
          <w:sz w:val="26"/>
          <w:szCs w:val="26"/>
        </w:rPr>
        <w:t>9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3E6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0265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A8ADC-0638-459E-8E27-0F552EDA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42</cp:revision>
  <cp:lastPrinted>2020-06-25T12:57:00Z</cp:lastPrinted>
  <dcterms:created xsi:type="dcterms:W3CDTF">2020-06-23T12:55:00Z</dcterms:created>
  <dcterms:modified xsi:type="dcterms:W3CDTF">2020-07-10T05:53:00Z</dcterms:modified>
</cp:coreProperties>
</file>