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3C39EF" w:rsidRPr="003C39EF">
        <w:rPr>
          <w:sz w:val="26"/>
          <w:szCs w:val="26"/>
        </w:rPr>
        <w:t>предоставления муниципальной услуги по  постановке отдельных категорий граждан на учет в качестве</w:t>
      </w:r>
      <w:proofErr w:type="gramEnd"/>
      <w:r w:rsidR="003C39EF" w:rsidRPr="003C39EF">
        <w:rPr>
          <w:sz w:val="26"/>
          <w:szCs w:val="26"/>
        </w:rPr>
        <w:t xml:space="preserve"> лиц, имеющих право на предоставление 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</w:t>
      </w:r>
      <w:r w:rsidR="00263D33" w:rsidRPr="00D876E7">
        <w:rPr>
          <w:color w:val="000000" w:themeColor="text1"/>
          <w:sz w:val="26"/>
          <w:szCs w:val="26"/>
        </w:rPr>
        <w:t xml:space="preserve">, </w:t>
      </w:r>
      <w:proofErr w:type="gramStart"/>
      <w:r w:rsidR="00263D33" w:rsidRPr="00D876E7">
        <w:rPr>
          <w:color w:val="000000" w:themeColor="text1"/>
          <w:sz w:val="26"/>
          <w:szCs w:val="26"/>
        </w:rPr>
        <w:t>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proofErr w:type="gramEnd"/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3C39EF">
        <w:rPr>
          <w:color w:val="000000" w:themeColor="text1"/>
          <w:sz w:val="26"/>
          <w:szCs w:val="26"/>
        </w:rPr>
        <w:t>27.12.2018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3C39EF">
        <w:rPr>
          <w:color w:val="000000" w:themeColor="text1"/>
          <w:sz w:val="26"/>
          <w:szCs w:val="26"/>
        </w:rPr>
        <w:t>1110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3C39EF" w:rsidRPr="003C39EF">
        <w:rPr>
          <w:sz w:val="26"/>
          <w:szCs w:val="26"/>
        </w:rPr>
        <w:t>предоставления муниципальной услуги по  постановке отдельных категорий граждан на учет в качестве лиц, имеющих право на предоставление 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</w:t>
      </w:r>
      <w:r w:rsidR="003C39EF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3C39EF">
        <w:rPr>
          <w:color w:val="000000" w:themeColor="text1"/>
          <w:sz w:val="26"/>
          <w:szCs w:val="26"/>
        </w:rPr>
        <w:t>27.12.2018</w:t>
      </w:r>
      <w:r w:rsidR="003C39EF" w:rsidRPr="00D876E7">
        <w:rPr>
          <w:color w:val="000000" w:themeColor="text1"/>
          <w:sz w:val="26"/>
          <w:szCs w:val="26"/>
        </w:rPr>
        <w:t xml:space="preserve"> №</w:t>
      </w:r>
      <w:r w:rsidR="003C39EF">
        <w:rPr>
          <w:color w:val="000000" w:themeColor="text1"/>
          <w:sz w:val="26"/>
          <w:szCs w:val="26"/>
        </w:rPr>
        <w:t>1110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3C39EF">
        <w:rPr>
          <w:color w:val="000000" w:themeColor="text1"/>
          <w:sz w:val="26"/>
          <w:szCs w:val="26"/>
        </w:rPr>
        <w:t>пункт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3C39EF">
        <w:rPr>
          <w:color w:val="000000" w:themeColor="text1"/>
          <w:sz w:val="26"/>
          <w:szCs w:val="26"/>
        </w:rPr>
        <w:t>14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3C39EF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3C39EF" w:rsidRPr="00F50D10">
        <w:rPr>
          <w:color w:val="000000" w:themeColor="text1"/>
          <w:sz w:val="26"/>
          <w:szCs w:val="26"/>
        </w:rPr>
        <w:t>в абзаце 4 пункта 2.</w:t>
      </w:r>
      <w:r w:rsidR="003C39EF">
        <w:rPr>
          <w:color w:val="000000" w:themeColor="text1"/>
          <w:sz w:val="26"/>
          <w:szCs w:val="26"/>
        </w:rPr>
        <w:t>21</w:t>
      </w:r>
      <w:r w:rsidR="003C39EF"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FF15DC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F72899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proofErr w:type="gramStart"/>
      <w:r w:rsidR="00F72899">
        <w:rPr>
          <w:color w:val="000000" w:themeColor="text1"/>
          <w:sz w:val="26"/>
          <w:szCs w:val="26"/>
        </w:rPr>
        <w:t>Признать утратившим силу постановление администрации Никольского муниципального района от 01.12.2019 №1211 «</w:t>
      </w:r>
      <w:r w:rsidR="00F72899" w:rsidRPr="00F72899">
        <w:rPr>
          <w:color w:val="000000" w:themeColor="text1"/>
          <w:sz w:val="26"/>
          <w:szCs w:val="26"/>
        </w:rPr>
        <w:t xml:space="preserve">О внесении изменений в </w:t>
      </w:r>
      <w:proofErr w:type="spellStart"/>
      <w:r w:rsidR="00F72899" w:rsidRPr="00F72899">
        <w:rPr>
          <w:color w:val="000000" w:themeColor="text1"/>
          <w:sz w:val="26"/>
          <w:szCs w:val="26"/>
        </w:rPr>
        <w:t>Административ-ный</w:t>
      </w:r>
      <w:proofErr w:type="spellEnd"/>
      <w:r w:rsidR="00F72899" w:rsidRPr="00F72899">
        <w:rPr>
          <w:color w:val="000000" w:themeColor="text1"/>
          <w:sz w:val="26"/>
          <w:szCs w:val="26"/>
        </w:rPr>
        <w:t xml:space="preserve"> </w:t>
      </w:r>
      <w:r w:rsidR="00F72899">
        <w:rPr>
          <w:color w:val="000000" w:themeColor="text1"/>
          <w:sz w:val="26"/>
          <w:szCs w:val="26"/>
        </w:rPr>
        <w:t>регламент предоставления муници</w:t>
      </w:r>
      <w:r w:rsidR="00F72899" w:rsidRPr="00F72899">
        <w:rPr>
          <w:color w:val="000000" w:themeColor="text1"/>
          <w:sz w:val="26"/>
          <w:szCs w:val="26"/>
        </w:rPr>
        <w:t>пальной услуги по постановке отдельных категорий граждан на учет в качестве лиц, имеющих право на предоставление 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бесплатно, утвержденный постановлением администрации Никольского муниципального района от 27.12.2018 года № 1110</w:t>
      </w:r>
      <w:r w:rsidR="00F72899">
        <w:rPr>
          <w:color w:val="000000" w:themeColor="text1"/>
          <w:sz w:val="26"/>
          <w:szCs w:val="26"/>
        </w:rPr>
        <w:t>».</w:t>
      </w:r>
      <w:proofErr w:type="gramEnd"/>
    </w:p>
    <w:p w:rsidR="00554727" w:rsidRDefault="00F72899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3.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F72899" w:rsidRDefault="00F72899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F72899" w:rsidRPr="00D876E7" w:rsidRDefault="00F72899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0184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2899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54EE8-A5D2-4856-9C03-9B39CF82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43</cp:revision>
  <cp:lastPrinted>2020-07-13T08:33:00Z</cp:lastPrinted>
  <dcterms:created xsi:type="dcterms:W3CDTF">2020-06-23T12:55:00Z</dcterms:created>
  <dcterms:modified xsi:type="dcterms:W3CDTF">2020-07-13T08:35:00Z</dcterms:modified>
</cp:coreProperties>
</file>