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42" w:rsidRPr="00DD6F42" w:rsidRDefault="00DD6F42" w:rsidP="00DD6F42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 wp14:anchorId="410A7C48" wp14:editId="4A4EBAEF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МУНИЦИПАЛЬНОГО РАЙОНА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DD6F42" w:rsidRPr="00DD6F42" w:rsidRDefault="00C3613C" w:rsidP="00DD6F42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18</w:t>
      </w:r>
      <w:r w:rsidR="00DD6F42" w:rsidRPr="00DD6F42">
        <w:rPr>
          <w:b w:val="0"/>
          <w:spacing w:val="0"/>
          <w:sz w:val="28"/>
          <w:szCs w:val="28"/>
        </w:rPr>
        <w:t>.07.2022 года</w:t>
      </w:r>
      <w:r w:rsidR="00DD6F42" w:rsidRPr="00DD6F42">
        <w:rPr>
          <w:b w:val="0"/>
          <w:spacing w:val="0"/>
          <w:sz w:val="28"/>
          <w:szCs w:val="28"/>
        </w:rPr>
        <w:tab/>
      </w:r>
      <w:r w:rsidR="00DD6F42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>
        <w:rPr>
          <w:b w:val="0"/>
          <w:spacing w:val="0"/>
          <w:sz w:val="28"/>
          <w:szCs w:val="28"/>
        </w:rPr>
        <w:t xml:space="preserve">                         № 686</w:t>
      </w:r>
    </w:p>
    <w:p w:rsidR="00DD6F42" w:rsidRPr="00DD6F42" w:rsidRDefault="00DD6F42" w:rsidP="00DD6F42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DD6F42" w:rsidRPr="00DD6F42" w:rsidRDefault="00DD6F42" w:rsidP="00DD6F42">
      <w:pPr>
        <w:pStyle w:val="af0"/>
        <w:rPr>
          <w:b w:val="0"/>
          <w:spacing w:val="0"/>
          <w:sz w:val="28"/>
          <w:szCs w:val="28"/>
        </w:rPr>
      </w:pPr>
    </w:p>
    <w:p w:rsidR="00DD6F42" w:rsidRPr="00DD6F42" w:rsidRDefault="00DD6F42" w:rsidP="00DD6F42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</w:t>
      </w:r>
      <w:proofErr w:type="gramStart"/>
      <w:r w:rsidRPr="00DD6F42">
        <w:rPr>
          <w:bCs/>
          <w:sz w:val="28"/>
          <w:szCs w:val="28"/>
        </w:rPr>
        <w:t>ств пр</w:t>
      </w:r>
      <w:proofErr w:type="gramEnd"/>
      <w:r w:rsidRPr="00DD6F42">
        <w:rPr>
          <w:bCs/>
          <w:sz w:val="28"/>
          <w:szCs w:val="28"/>
        </w:rPr>
        <w:t>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</w:p>
    <w:p w:rsidR="00DD6F42" w:rsidRPr="00DD6F42" w:rsidRDefault="00DD6F42" w:rsidP="00DD6F42">
      <w:pPr>
        <w:jc w:val="both"/>
        <w:rPr>
          <w:sz w:val="28"/>
          <w:szCs w:val="28"/>
        </w:rPr>
      </w:pPr>
    </w:p>
    <w:p w:rsidR="00DD6F42" w:rsidRPr="00DD6F42" w:rsidRDefault="00DD6F42" w:rsidP="00DD6F42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В соответствии </w:t>
      </w:r>
      <w:r w:rsidRPr="00DD6F42">
        <w:rPr>
          <w:color w:val="000000"/>
          <w:sz w:val="28"/>
          <w:szCs w:val="28"/>
        </w:rPr>
        <w:t>с абзацем вторым части 3 статьи 115</w:t>
      </w:r>
      <w:r w:rsidRPr="00DD6F42">
        <w:rPr>
          <w:color w:val="000000"/>
          <w:sz w:val="28"/>
          <w:szCs w:val="28"/>
          <w:vertAlign w:val="superscript"/>
        </w:rPr>
        <w:t xml:space="preserve">2 </w:t>
      </w:r>
      <w:r w:rsidRPr="00DD6F42">
        <w:rPr>
          <w:color w:val="000000"/>
          <w:sz w:val="28"/>
          <w:szCs w:val="28"/>
        </w:rPr>
        <w:t xml:space="preserve">Бюджетного кодекса Российской Федерации, руководствуясь </w:t>
      </w:r>
      <w:r w:rsidRPr="00DD6F42">
        <w:rPr>
          <w:sz w:val="28"/>
          <w:szCs w:val="28"/>
        </w:rPr>
        <w:t>статьей 33 Устава Никольского муниципального района</w:t>
      </w:r>
      <w:r w:rsidR="00EB3A56"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района </w:t>
      </w:r>
    </w:p>
    <w:p w:rsidR="00DD6F42" w:rsidRPr="00DD6F42" w:rsidRDefault="00DD6F42" w:rsidP="00DD6F42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DD6F42" w:rsidRPr="00DD6F42" w:rsidRDefault="00DD6F42" w:rsidP="00DD6F42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1. </w:t>
      </w:r>
      <w:proofErr w:type="gramStart"/>
      <w:r w:rsidRPr="00DD6F42">
        <w:rPr>
          <w:sz w:val="28"/>
          <w:szCs w:val="28"/>
        </w:rPr>
        <w:t>Утвердить прилагаемый 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Никольского муниципального района, а также мониторинга финансового состояния принципала, контроля за достаточностью, надежностью и ликвидностью предоставленного</w:t>
      </w:r>
      <w:proofErr w:type="gramEnd"/>
      <w:r w:rsidRPr="00DD6F42">
        <w:rPr>
          <w:sz w:val="28"/>
          <w:szCs w:val="28"/>
        </w:rPr>
        <w:t xml:space="preserve"> обеспечения после предоставления муниципальной гарантии Никольского муниципального района.</w:t>
      </w:r>
    </w:p>
    <w:p w:rsidR="00DD6F42" w:rsidRPr="00DD6F42" w:rsidRDefault="00DD6F42" w:rsidP="00DD6F42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«Интернет».</w:t>
      </w:r>
    </w:p>
    <w:p w:rsidR="00DD6F42" w:rsidRPr="00DD6F42" w:rsidRDefault="00DD6F42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C3613C" w:rsidRDefault="00C3613C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C3613C" w:rsidRDefault="00C3613C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DD6F42" w:rsidRPr="00DD6F42" w:rsidRDefault="00DD6F42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Руководитель администрации </w:t>
      </w:r>
    </w:p>
    <w:p w:rsidR="00DD6F42" w:rsidRPr="00DD6F42" w:rsidRDefault="00DD6F42" w:rsidP="00DD6F42">
      <w:pPr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Никольского муниципального  района                                                   А.Н. </w:t>
      </w:r>
      <w:proofErr w:type="spellStart"/>
      <w:r w:rsidRPr="00DD6F42">
        <w:rPr>
          <w:sz w:val="28"/>
          <w:szCs w:val="28"/>
        </w:rPr>
        <w:t>Баданина</w:t>
      </w:r>
      <w:proofErr w:type="spellEnd"/>
    </w:p>
    <w:p w:rsidR="00DD6F42" w:rsidRPr="00DD6F42" w:rsidRDefault="00DD6F42">
      <w:pPr>
        <w:spacing w:after="200" w:line="276" w:lineRule="auto"/>
        <w:rPr>
          <w:sz w:val="22"/>
          <w:szCs w:val="22"/>
        </w:rPr>
      </w:pPr>
      <w:r w:rsidRPr="00DD6F42">
        <w:rPr>
          <w:sz w:val="22"/>
          <w:szCs w:val="22"/>
        </w:rPr>
        <w:br w:type="page"/>
      </w:r>
    </w:p>
    <w:p w:rsidR="000554D7" w:rsidRPr="00DD6F42" w:rsidRDefault="003F576D" w:rsidP="00DD6F4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DD6F42">
        <w:rPr>
          <w:sz w:val="28"/>
          <w:szCs w:val="28"/>
        </w:rPr>
        <w:lastRenderedPageBreak/>
        <w:t>П</w:t>
      </w:r>
      <w:r w:rsidR="000554D7" w:rsidRPr="00DD6F42">
        <w:rPr>
          <w:sz w:val="28"/>
          <w:szCs w:val="28"/>
        </w:rPr>
        <w:t>риложение</w:t>
      </w:r>
    </w:p>
    <w:p w:rsidR="00716385" w:rsidRDefault="00716385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</w:p>
    <w:p w:rsidR="00716385" w:rsidRDefault="00716385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3F576D" w:rsidRPr="00DD6F42" w:rsidRDefault="003F576D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DD6F42">
        <w:rPr>
          <w:bCs/>
          <w:color w:val="000000"/>
          <w:sz w:val="28"/>
          <w:szCs w:val="28"/>
        </w:rPr>
        <w:t>постановлени</w:t>
      </w:r>
      <w:r w:rsidR="00716385">
        <w:rPr>
          <w:bCs/>
          <w:color w:val="000000"/>
          <w:sz w:val="28"/>
          <w:szCs w:val="28"/>
        </w:rPr>
        <w:t>ем</w:t>
      </w:r>
      <w:r w:rsidRPr="00DD6F42">
        <w:rPr>
          <w:bCs/>
          <w:color w:val="000000"/>
          <w:sz w:val="28"/>
          <w:szCs w:val="28"/>
        </w:rPr>
        <w:t xml:space="preserve"> администрации</w:t>
      </w:r>
    </w:p>
    <w:p w:rsidR="00DD6F42" w:rsidRPr="00DD6F42" w:rsidRDefault="00DD6F42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DD6F42">
        <w:rPr>
          <w:sz w:val="28"/>
          <w:szCs w:val="28"/>
        </w:rPr>
        <w:t>Никольского муниципального района</w:t>
      </w:r>
    </w:p>
    <w:p w:rsidR="000554D7" w:rsidRPr="00DD6F42" w:rsidRDefault="00C3613C" w:rsidP="00DD6F42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 18.07.</w:t>
      </w:r>
      <w:r w:rsidR="004A6101" w:rsidRPr="00DD6F42">
        <w:rPr>
          <w:bCs/>
          <w:color w:val="000000"/>
          <w:sz w:val="28"/>
          <w:szCs w:val="28"/>
        </w:rPr>
        <w:t xml:space="preserve"> 202</w:t>
      </w:r>
      <w:r w:rsidR="005F74F3" w:rsidRPr="00DD6F4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№ 686</w:t>
      </w:r>
      <w:bookmarkStart w:id="0" w:name="_GoBack"/>
      <w:bookmarkEnd w:id="0"/>
    </w:p>
    <w:p w:rsidR="00A70F8E" w:rsidRPr="00DD6F42" w:rsidRDefault="00A70F8E" w:rsidP="00A70F8E">
      <w:pPr>
        <w:ind w:firstLine="709"/>
        <w:jc w:val="both"/>
        <w:rPr>
          <w:sz w:val="28"/>
          <w:szCs w:val="28"/>
        </w:rPr>
      </w:pPr>
    </w:p>
    <w:p w:rsidR="00DD1441" w:rsidRPr="00DD6F42" w:rsidRDefault="005F74F3" w:rsidP="003F576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D6F42">
        <w:rPr>
          <w:sz w:val="28"/>
          <w:szCs w:val="28"/>
        </w:rPr>
        <w:t xml:space="preserve">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</w:t>
      </w:r>
      <w:r w:rsidR="00DD6F42" w:rsidRPr="00DD6F42">
        <w:rPr>
          <w:sz w:val="28"/>
          <w:szCs w:val="28"/>
        </w:rPr>
        <w:t>Никольского муниципального района</w:t>
      </w:r>
      <w:r w:rsidRPr="00DD6F42">
        <w:rPr>
          <w:sz w:val="28"/>
          <w:szCs w:val="28"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 после</w:t>
      </w:r>
      <w:proofErr w:type="gramEnd"/>
      <w:r w:rsidRPr="00DD6F42">
        <w:rPr>
          <w:sz w:val="28"/>
          <w:szCs w:val="28"/>
        </w:rPr>
        <w:t xml:space="preserve"> предоставления муниципальной гарантии </w:t>
      </w:r>
      <w:r w:rsidR="00DD6F42" w:rsidRPr="00DD6F42">
        <w:rPr>
          <w:sz w:val="28"/>
          <w:szCs w:val="28"/>
        </w:rPr>
        <w:t>Никольского муниципального района</w:t>
      </w:r>
    </w:p>
    <w:p w:rsidR="00804DDC" w:rsidRPr="00DD6F42" w:rsidRDefault="00804DDC" w:rsidP="003F576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  <w:r w:rsidRPr="00DD6F42">
        <w:rPr>
          <w:kern w:val="2"/>
          <w:sz w:val="28"/>
          <w:szCs w:val="28"/>
        </w:rPr>
        <w:t>Раздел 1. Общие положения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1. </w:t>
      </w:r>
      <w:proofErr w:type="gramStart"/>
      <w:r w:rsidRPr="00DD6F42">
        <w:rPr>
          <w:kern w:val="2"/>
          <w:sz w:val="28"/>
          <w:szCs w:val="28"/>
        </w:rPr>
        <w:t xml:space="preserve">Настоящий Порядок устанавливает правила </w:t>
      </w:r>
      <w:r w:rsidRPr="00DD6F42">
        <w:rPr>
          <w:bCs/>
          <w:sz w:val="28"/>
          <w:szCs w:val="28"/>
        </w:rPr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</w:t>
      </w:r>
      <w:r w:rsidR="00DD6F42">
        <w:rPr>
          <w:sz w:val="28"/>
          <w:szCs w:val="28"/>
        </w:rPr>
        <w:t>Никольского муниципального района</w:t>
      </w:r>
      <w:r w:rsidRPr="00DD6F42">
        <w:rPr>
          <w:sz w:val="28"/>
          <w:szCs w:val="28"/>
        </w:rPr>
        <w:t xml:space="preserve"> (далее – муниципальная гарантия)</w:t>
      </w:r>
      <w:r w:rsidRPr="00DD6F42">
        <w:rPr>
          <w:bCs/>
          <w:sz w:val="28"/>
          <w:szCs w:val="28"/>
        </w:rPr>
        <w:t>, а также правила мониторинга финансового состояния принципала, контроля за</w:t>
      </w:r>
      <w:proofErr w:type="gramEnd"/>
      <w:r w:rsidRPr="00DD6F42">
        <w:rPr>
          <w:bCs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  <w:r w:rsidRPr="00DD6F42">
        <w:rPr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 Понятия и термины, используемые в настоящем Порядке, применяются в значениях, определенных бюджетным и гражданским законодательством Российской Федерации.</w:t>
      </w:r>
    </w:p>
    <w:p w:rsidR="005F74F3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3. </w:t>
      </w:r>
      <w:proofErr w:type="gramStart"/>
      <w:r w:rsidRPr="00DD6F42">
        <w:rPr>
          <w:bCs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Pr="00DD6F42">
        <w:rPr>
          <w:sz w:val="28"/>
          <w:szCs w:val="28"/>
        </w:rPr>
        <w:t xml:space="preserve">, </w:t>
      </w:r>
      <w:r w:rsidRPr="00DD6F42">
        <w:rPr>
          <w:bCs/>
          <w:sz w:val="28"/>
          <w:szCs w:val="28"/>
        </w:rPr>
        <w:t xml:space="preserve"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Pr="00DD6F42">
        <w:rPr>
          <w:sz w:val="28"/>
          <w:szCs w:val="28"/>
        </w:rPr>
        <w:t>осуществляются</w:t>
      </w:r>
      <w:r w:rsidR="00DD6F42">
        <w:rPr>
          <w:sz w:val="28"/>
          <w:szCs w:val="28"/>
        </w:rPr>
        <w:t xml:space="preserve"> Финансовым управлением Никольского</w:t>
      </w:r>
      <w:proofErr w:type="gramEnd"/>
      <w:r w:rsidR="00DD6F42">
        <w:rPr>
          <w:sz w:val="28"/>
          <w:szCs w:val="28"/>
        </w:rPr>
        <w:t xml:space="preserve"> муниципального района</w:t>
      </w:r>
      <w:r w:rsidRPr="00DD6F42">
        <w:rPr>
          <w:sz w:val="28"/>
          <w:szCs w:val="28"/>
        </w:rPr>
        <w:t xml:space="preserve"> (далее – уполномоченный орган). </w:t>
      </w:r>
    </w:p>
    <w:p w:rsidR="00DD6F42" w:rsidRPr="00DD6F42" w:rsidRDefault="00DD6F42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2. </w:t>
      </w:r>
      <w:r w:rsidRPr="00DD6F42">
        <w:rPr>
          <w:bCs/>
          <w:sz w:val="28"/>
          <w:szCs w:val="28"/>
        </w:rPr>
        <w:t>Анализ финансового состояния принципала</w:t>
      </w: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>при предоставлении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 xml:space="preserve">4. Анализ финансового состояния принципала при предоставлении муниципальной гарантии (далее – анализ финансового состояния) проводится на </w:t>
      </w:r>
      <w:r w:rsidRPr="00DD6F42">
        <w:rPr>
          <w:bCs/>
          <w:sz w:val="28"/>
          <w:szCs w:val="28"/>
        </w:rPr>
        <w:lastRenderedPageBreak/>
        <w:t xml:space="preserve">основании данных бухгалтерской (финансовой) отчетности принципала, предоставляемой им в составе документов, необходимых для предоставления муниципальной гарантии, предусмотренных </w:t>
      </w:r>
      <w:r w:rsidR="00DD6F42">
        <w:rPr>
          <w:bCs/>
          <w:sz w:val="28"/>
          <w:szCs w:val="28"/>
        </w:rPr>
        <w:t>постановлением администрации Никольского муниципального района «Об утверждении Перечня документов, предоставляемых принципалом и (или) бенефициаром для получения муниципальной гарантии»</w:t>
      </w:r>
      <w:r w:rsidRPr="00DD6F42">
        <w:rPr>
          <w:bCs/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 xml:space="preserve">Анализ финансового состояния осуществляется в срок, не превышающий </w:t>
      </w:r>
      <w:r w:rsidR="00F91289">
        <w:rPr>
          <w:bCs/>
          <w:sz w:val="28"/>
          <w:szCs w:val="28"/>
        </w:rPr>
        <w:t>20 </w:t>
      </w:r>
      <w:r w:rsidRPr="00DD6F42">
        <w:rPr>
          <w:bCs/>
          <w:sz w:val="28"/>
          <w:szCs w:val="28"/>
        </w:rPr>
        <w:t>дней со дня поступления в уполномоченный орган документов, указанных в абзаце первом настоящего пункта.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5. Период, за который проводится анализ финансового состояния (далее − анализируемый период), включает в себя: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а) последний отчетный период текущего года (последний отчетный период);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предыдущий финансовый год (2-й отчетный период);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в) год, предшествующий предыдущему финансовому году (1-й отчетный период).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6.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</w:t>
      </w:r>
      <w:r w:rsidR="00F91289">
        <w:rPr>
          <w:sz w:val="28"/>
          <w:szCs w:val="28"/>
        </w:rPr>
        <w:t> </w:t>
      </w:r>
      <w:proofErr w:type="gramStart"/>
      <w:r w:rsidRPr="00DD6F42">
        <w:rPr>
          <w:sz w:val="28"/>
          <w:szCs w:val="28"/>
        </w:rPr>
        <w:t>финансовых</w:t>
      </w:r>
      <w:proofErr w:type="gramEnd"/>
      <w:r w:rsidRPr="00DD6F42">
        <w:rPr>
          <w:sz w:val="28"/>
          <w:szCs w:val="28"/>
        </w:rPr>
        <w:t xml:space="preserve"> года, являющихся в этом случае соответственно 1-м, 2-м и последним отчетными периодами.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осуществляется на основании данных 2-го и (или) последнего отчетных периодов, являющихся в этом случае анализируемым периодом.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7. При проведении анализа финансового состояния рассматриваются следующие показатели: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а) стоимость чистых активов принципала (К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коэффициент покрытия основных средств собственными средствами (К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в) коэффициент покрытия основных средств собственными и долгосрочными заемными средствами (К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.1);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г) коэффициент текущей ликвидности (К3);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д) рентабельность продаж (К</w:t>
      </w:r>
      <w:proofErr w:type="gramStart"/>
      <w:r w:rsidRPr="00DD6F42">
        <w:rPr>
          <w:sz w:val="28"/>
          <w:szCs w:val="28"/>
        </w:rPr>
        <w:t>4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е) норма чистой прибыли (К5).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DD6F42">
        <w:rPr>
          <w:sz w:val="28"/>
          <w:szCs w:val="28"/>
        </w:rPr>
        <w:t>8. В целях анализа финансового состояния стоимость чистых активов принципала (К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>) по состоянию на конец каждого отчетного периода определяется на основании данных раздела 3 отчета об изменениях капитала, утвержденного по форме, содержащейся в Приложении № 2 к приказу Министерства финансов Российской Федерации от 2 июля 2010 года № 66н «О формах бухгалтерской отчетности организаций»,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 xml:space="preserve"> = совокупные активы (код строки бухгалтерского баланса 1600) - долгосрочные обязательства (код строки бухгалтерского баланса 1400) - </w:t>
      </w:r>
      <w:r w:rsidRPr="00DD6F42">
        <w:rPr>
          <w:sz w:val="28"/>
          <w:szCs w:val="28"/>
        </w:rPr>
        <w:lastRenderedPageBreak/>
        <w:t>краткосрочные обязательства (код строки бухгалтерского баланса 1500) + доходы будущих периодов (код строки бухгалтерского баланса 1530).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9.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не осуществляется) в следующих случаях: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а) по состоянию </w:t>
      </w:r>
      <w:proofErr w:type="gramStart"/>
      <w:r w:rsidRPr="00DD6F42">
        <w:rPr>
          <w:sz w:val="28"/>
          <w:szCs w:val="28"/>
        </w:rPr>
        <w:t>на конец</w:t>
      </w:r>
      <w:proofErr w:type="gramEnd"/>
      <w:r w:rsidRPr="00DD6F42">
        <w:rPr>
          <w:sz w:val="28"/>
          <w:szCs w:val="28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10. При удовлетворительном результате анализа величины чистых активов принципала, проведенного в соответствии с пунктом 8 настоящего Порядка, расчет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 xml:space="preserve">, К2.1, К3, К4 и К5 производится согласно Приложению </w:t>
      </w:r>
      <w:r w:rsidR="00F91289">
        <w:rPr>
          <w:sz w:val="28"/>
          <w:szCs w:val="28"/>
        </w:rPr>
        <w:t>№ </w:t>
      </w:r>
      <w:r w:rsidRPr="00DD6F42">
        <w:rPr>
          <w:sz w:val="28"/>
          <w:szCs w:val="28"/>
        </w:rPr>
        <w:t>1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настоящем разделе величина собственных средств принципала, используемая в расчете показателя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 xml:space="preserve"> и К2.1, рассчитывается по формуле: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собственные средства принципала = собственный капитал (код строки бухгалтерского баланса 1300) + доходы будущих периодов (код строки бухгалтерского баланса 1530).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округляются до третьего знака после запятой):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Допустимое значение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2</w:t>
            </w:r>
            <w:proofErr w:type="gramEnd"/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0,5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2</w:t>
            </w:r>
            <w:proofErr w:type="gramEnd"/>
            <w:r w:rsidRPr="00DD6F42">
              <w:rPr>
                <w:szCs w:val="28"/>
              </w:rPr>
              <w:t>.1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1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К3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1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4</w:t>
            </w:r>
            <w:proofErr w:type="gramEnd"/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К5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</w:t>
            </w:r>
          </w:p>
        </w:tc>
      </w:tr>
    </w:tbl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DD6F42">
        <w:rPr>
          <w:sz w:val="28"/>
          <w:szCs w:val="28"/>
        </w:rPr>
        <w:t>12. Вывод об удовлетворительном значении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К2, К2.1 и К3 при этом используются средние за отчетный период значения, определяемые в соответствии с Приложением № 1 к настоящему Порядку).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lastRenderedPageBreak/>
        <w:t>Вывод об удовлетворительном значении показателей К</w:t>
      </w:r>
      <w:proofErr w:type="gramStart"/>
      <w:r w:rsidRPr="00DD6F42">
        <w:rPr>
          <w:sz w:val="28"/>
          <w:szCs w:val="28"/>
        </w:rPr>
        <w:t>4</w:t>
      </w:r>
      <w:proofErr w:type="gramEnd"/>
      <w:r w:rsidRPr="00DD6F42">
        <w:rPr>
          <w:sz w:val="28"/>
          <w:szCs w:val="28"/>
        </w:rPr>
        <w:t xml:space="preserve"> и К5 в анализируемом периоде делается также в случае, если их значения, рассчитанные для всего анализируемого периода, имеют допустимые значения.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13.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пунктом 8 настоящего Порядка, при условии, что в отношении каждого из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в соответствии с пунктом 12 настоящего Порядка сделан вывод о его удовлетворительном значении в анализируемом периоде.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14. По результатам анализа финансового состояния оформляется заключение по форме согласно Приложению № 2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15. В случае если по результатам анализа финансовое состояние принципала признано удовлетворительным, значения каждого из указанных в Приложении </w:t>
      </w:r>
      <w:r w:rsidR="00F91289">
        <w:rPr>
          <w:sz w:val="28"/>
          <w:szCs w:val="28"/>
        </w:rPr>
        <w:t>№ </w:t>
      </w:r>
      <w:r w:rsidRPr="00DD6F42">
        <w:rPr>
          <w:sz w:val="28"/>
          <w:szCs w:val="28"/>
        </w:rPr>
        <w:t>3 к настоящему Порядку показателей финансового состояния принципала, рассчитанные в соответствии с настоящим разделом, сопоставляются с показателями финансового состояния принципала по соответствующим группам (A, B, C), указанными в Приложении № 3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16. 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 кото</w:t>
      </w:r>
      <w:r w:rsidR="00F91289">
        <w:rPr>
          <w:sz w:val="28"/>
          <w:szCs w:val="28"/>
        </w:rPr>
        <w:t>рых в соответствии с пунктом 15 </w:t>
      </w:r>
      <w:r w:rsidRPr="00DD6F42">
        <w:rPr>
          <w:sz w:val="28"/>
          <w:szCs w:val="28"/>
        </w:rPr>
        <w:t>настоящего Порядка отнесено к группе C.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</w:t>
      </w:r>
      <w:r w:rsidR="00F91289">
        <w:rPr>
          <w:sz w:val="28"/>
          <w:szCs w:val="28"/>
        </w:rPr>
        <w:t>рых в соответствии с пунктом 15 </w:t>
      </w:r>
      <w:r w:rsidRPr="00DD6F42">
        <w:rPr>
          <w:sz w:val="28"/>
          <w:szCs w:val="28"/>
        </w:rPr>
        <w:t>настоящего Порядка отнесено к группе B и ни одно из значений не отнесено к группе C.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в соответствии с пунктом 15 настоящего Порядка отнесены к группе A.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3. Правила </w:t>
      </w:r>
      <w:r w:rsidRPr="00DD6F42">
        <w:rPr>
          <w:bCs/>
          <w:sz w:val="28"/>
          <w:szCs w:val="28"/>
        </w:rPr>
        <w:t>проведения проверки достаточности, надежности</w:t>
      </w:r>
      <w:r w:rsidR="00F91289">
        <w:rPr>
          <w:bCs/>
          <w:sz w:val="28"/>
          <w:szCs w:val="28"/>
        </w:rPr>
        <w:t xml:space="preserve"> </w:t>
      </w:r>
      <w:r w:rsidRPr="00DD6F42">
        <w:rPr>
          <w:bCs/>
          <w:sz w:val="28"/>
          <w:szCs w:val="28"/>
        </w:rPr>
        <w:t>и ликвидности обеспечения, предоставляемого в целях исполнения обязатель</w:t>
      </w:r>
      <w:proofErr w:type="gramStart"/>
      <w:r w:rsidRPr="00DD6F42">
        <w:rPr>
          <w:bCs/>
          <w:sz w:val="28"/>
          <w:szCs w:val="28"/>
        </w:rPr>
        <w:t>ств пр</w:t>
      </w:r>
      <w:proofErr w:type="gramEnd"/>
      <w:r w:rsidRPr="00DD6F42">
        <w:rPr>
          <w:bCs/>
          <w:sz w:val="28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t>17.</w:t>
      </w:r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Проверка достаточности, надежности и ликвидности обеспечения, </w:t>
      </w:r>
      <w:r w:rsidRPr="00DD6F42">
        <w:rPr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D6F42">
        <w:rPr>
          <w:sz w:val="28"/>
          <w:szCs w:val="28"/>
        </w:rPr>
        <w:t xml:space="preserve">при предоставлении муниципальной гарантии осуществляется в течение </w:t>
      </w:r>
      <w:r w:rsidR="00F91289">
        <w:rPr>
          <w:sz w:val="28"/>
          <w:szCs w:val="28"/>
        </w:rPr>
        <w:t>10</w:t>
      </w:r>
      <w:r w:rsidRPr="00DD6F42">
        <w:rPr>
          <w:sz w:val="28"/>
          <w:szCs w:val="28"/>
        </w:rPr>
        <w:t xml:space="preserve"> дней с даты поступления в уполномоченный орган комплекта документов, предусмотренного пунктом 4 настоящего Порядка.</w:t>
      </w:r>
      <w:proofErr w:type="gramEnd"/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lastRenderedPageBreak/>
        <w:t>18.</w:t>
      </w:r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Проверка достаточности обеспечения, </w:t>
      </w:r>
      <w:r w:rsidRPr="00DD6F42">
        <w:rPr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D6F42">
        <w:rPr>
          <w:sz w:val="28"/>
          <w:szCs w:val="28"/>
        </w:rPr>
        <w:t>при предоставлении муниципальной гарантии, заключается в определении соответствия предоставляемого (предоставленного) обеспечения требованиям к минимальному объему (сумме) обеспечения исполнения обязательств принципала по удовлетворению регрессного требования гаранта к принципалу по муниципальной гарантии, установленному</w:t>
      </w:r>
      <w:proofErr w:type="gramEnd"/>
      <w:r w:rsidRPr="00DD6F42">
        <w:rPr>
          <w:sz w:val="28"/>
          <w:szCs w:val="28"/>
        </w:rPr>
        <w:t xml:space="preserve"> в </w:t>
      </w:r>
      <w:r w:rsidR="00F91289">
        <w:rPr>
          <w:sz w:val="28"/>
          <w:szCs w:val="28"/>
        </w:rPr>
        <w:t>постановлении администрации Никольского муниципального района «</w:t>
      </w:r>
      <w:r w:rsidR="00F91289" w:rsidRPr="00F91289">
        <w:rPr>
          <w:sz w:val="28"/>
          <w:szCs w:val="28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="00F91289" w:rsidRPr="00F91289">
        <w:rPr>
          <w:sz w:val="28"/>
          <w:szCs w:val="28"/>
        </w:rPr>
        <w:t>ств пр</w:t>
      </w:r>
      <w:proofErr w:type="gramEnd"/>
      <w:r w:rsidR="00F91289" w:rsidRPr="00F91289">
        <w:rPr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r w:rsidR="00F91289">
        <w:rPr>
          <w:sz w:val="28"/>
          <w:szCs w:val="28"/>
        </w:rPr>
        <w:t>Никольского муниципального района</w:t>
      </w:r>
      <w:r w:rsidR="00F91289" w:rsidRPr="00F91289">
        <w:rPr>
          <w:sz w:val="28"/>
          <w:szCs w:val="28"/>
        </w:rPr>
        <w:t xml:space="preserve"> в зависимости от степени удовлетворительности финансового состояния принципала</w:t>
      </w:r>
      <w:r w:rsidR="00F91289">
        <w:rPr>
          <w:sz w:val="28"/>
          <w:szCs w:val="28"/>
        </w:rPr>
        <w:t>»</w:t>
      </w:r>
      <w:r w:rsidRPr="00DD6F42">
        <w:rPr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6F42">
        <w:rPr>
          <w:sz w:val="28"/>
          <w:szCs w:val="28"/>
        </w:rPr>
        <w:t xml:space="preserve">19. Надежность банковской гарантии и поручительства определяется в соответствии  с </w:t>
      </w:r>
      <w:r w:rsidR="00F91289">
        <w:rPr>
          <w:sz w:val="28"/>
          <w:szCs w:val="28"/>
        </w:rPr>
        <w:t>постановлением администрации Никольского муниципального района «</w:t>
      </w:r>
      <w:r w:rsidR="00F91289">
        <w:rPr>
          <w:bCs/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районом»</w:t>
      </w:r>
      <w:r w:rsidRPr="00DD6F42">
        <w:rPr>
          <w:bCs/>
          <w:sz w:val="28"/>
          <w:szCs w:val="28"/>
        </w:rPr>
        <w:t>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>20. Оценка рыночной стоимости и ликвидности передаваемого в залог имущества осуществляется в соответствии с абзацем седьмым части 3 статьи 93</w:t>
      </w:r>
      <w:r w:rsidRPr="00DD6F42">
        <w:rPr>
          <w:bCs/>
          <w:sz w:val="28"/>
          <w:szCs w:val="28"/>
          <w:vertAlign w:val="superscript"/>
        </w:rPr>
        <w:t>2</w:t>
      </w:r>
      <w:r w:rsidRPr="00DD6F42">
        <w:rPr>
          <w:bCs/>
          <w:sz w:val="28"/>
          <w:szCs w:val="28"/>
        </w:rPr>
        <w:t xml:space="preserve"> Бюджетного кодекса Российской Федерации.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4. Правила </w:t>
      </w:r>
      <w:r w:rsidRPr="00DD6F42">
        <w:rPr>
          <w:bCs/>
          <w:sz w:val="28"/>
          <w:szCs w:val="28"/>
        </w:rPr>
        <w:t xml:space="preserve">проведения мониторинга финансового состояния принципала, </w:t>
      </w:r>
      <w:proofErr w:type="gramStart"/>
      <w:r w:rsidRPr="00DD6F42">
        <w:rPr>
          <w:bCs/>
          <w:sz w:val="28"/>
          <w:szCs w:val="28"/>
        </w:rPr>
        <w:t>контроля за</w:t>
      </w:r>
      <w:proofErr w:type="gramEnd"/>
      <w:r w:rsidRPr="00DD6F42">
        <w:rPr>
          <w:bCs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DD6F42">
        <w:rPr>
          <w:bCs/>
          <w:sz w:val="28"/>
          <w:szCs w:val="28"/>
        </w:rPr>
        <w:t>21.</w:t>
      </w:r>
      <w:r w:rsidRPr="00DD6F42">
        <w:rPr>
          <w:sz w:val="28"/>
          <w:szCs w:val="28"/>
        </w:rPr>
        <w:t xml:space="preserve"> Мониторинг финансового состояния принципала осуществляется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ежегодно по данным годовой бухгалтерской (финансовой) отчетности</w:t>
      </w:r>
      <w:r w:rsidRPr="00DD6F42">
        <w:rPr>
          <w:color w:val="C00000"/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 xml:space="preserve">22. </w:t>
      </w:r>
      <w:r w:rsidRPr="00DD6F42">
        <w:rPr>
          <w:sz w:val="28"/>
          <w:szCs w:val="28"/>
        </w:rPr>
        <w:t>По результатам мониторинга финансового состояния принципала уполномоченный орган подготавливает заключение о финансовом состоянии принципала по форме согласно Приложению № 2 к настоящему Порядку. Заключение подписывается должностным лицом уполномоченного органа.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 xml:space="preserve">23. </w:t>
      </w:r>
      <w:r w:rsidRPr="00DD6F42">
        <w:rPr>
          <w:sz w:val="28"/>
          <w:szCs w:val="28"/>
        </w:rPr>
        <w:t>Контроль за достаточностью, надежностью и ликвидностью предоставленного обеспечения исполнения обязатель</w:t>
      </w:r>
      <w:proofErr w:type="gramStart"/>
      <w:r w:rsidRPr="00DD6F42">
        <w:rPr>
          <w:sz w:val="28"/>
          <w:szCs w:val="28"/>
        </w:rPr>
        <w:t>ств пр</w:t>
      </w:r>
      <w:proofErr w:type="gramEnd"/>
      <w:r w:rsidRPr="00DD6F42">
        <w:rPr>
          <w:sz w:val="28"/>
          <w:szCs w:val="28"/>
        </w:rPr>
        <w:t>инципала по удовлетворению регрессного требования гаранта к принципалу после предоставления муниципальной гарантии осуществляется уполномоченным органом ежегодно в соответствии с пунктами 18 – 20 настоящего Порядка.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24.</w:t>
      </w:r>
      <w:r w:rsidRPr="00DD6F42">
        <w:rPr>
          <w:color w:val="FF0000"/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</w:t>
      </w:r>
      <w:r w:rsidR="00F91289" w:rsidRPr="00F91289">
        <w:rPr>
          <w:sz w:val="28"/>
          <w:szCs w:val="28"/>
        </w:rPr>
        <w:t>Никольского муниципального района</w:t>
      </w:r>
      <w:r w:rsidRPr="00DD6F42">
        <w:rPr>
          <w:i/>
          <w:kern w:val="2"/>
          <w:sz w:val="28"/>
          <w:szCs w:val="28"/>
        </w:rPr>
        <w:t xml:space="preserve"> </w:t>
      </w:r>
      <w:r w:rsidRPr="00DD6F42">
        <w:rPr>
          <w:sz w:val="28"/>
          <w:szCs w:val="28"/>
        </w:rPr>
        <w:t xml:space="preserve">(в том </w:t>
      </w:r>
      <w:r w:rsidRPr="00DD6F42">
        <w:rPr>
          <w:sz w:val="28"/>
          <w:szCs w:val="28"/>
        </w:rPr>
        <w:lastRenderedPageBreak/>
        <w:t>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</w:t>
      </w:r>
      <w:proofErr w:type="gramEnd"/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гаранта к принципалу банковскую гарантию или поручительство, уменьшения рыночной стоимости предмета </w:t>
      </w:r>
      <w:r w:rsidRPr="00DD6F42">
        <w:rPr>
          <w:spacing w:val="-2"/>
          <w:sz w:val="28"/>
          <w:szCs w:val="28"/>
        </w:rPr>
        <w:t xml:space="preserve">залога), </w:t>
      </w:r>
      <w:r w:rsidR="006B353C">
        <w:rPr>
          <w:spacing w:val="-2"/>
          <w:sz w:val="28"/>
          <w:szCs w:val="28"/>
        </w:rPr>
        <w:t xml:space="preserve">Финансовое управление Никольского муниципального района </w:t>
      </w:r>
      <w:r w:rsidRPr="00DD6F42">
        <w:rPr>
          <w:kern w:val="2"/>
          <w:sz w:val="28"/>
          <w:szCs w:val="28"/>
        </w:rPr>
        <w:t>в срок не позднее </w:t>
      </w:r>
      <w:r w:rsidR="00F91289">
        <w:rPr>
          <w:kern w:val="2"/>
          <w:sz w:val="28"/>
          <w:szCs w:val="28"/>
        </w:rPr>
        <w:t>5</w:t>
      </w:r>
      <w:r w:rsidRPr="00DD6F42">
        <w:rPr>
          <w:kern w:val="2"/>
          <w:sz w:val="28"/>
          <w:szCs w:val="28"/>
        </w:rPr>
        <w:t xml:space="preserve"> дней со дня выявления такого несоответствия уведомляет принципала о необходимости </w:t>
      </w:r>
      <w:r w:rsidRPr="00DD6F42">
        <w:rPr>
          <w:sz w:val="28"/>
          <w:szCs w:val="28"/>
        </w:rPr>
        <w:t>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 требованиями.</w:t>
      </w:r>
      <w:proofErr w:type="gramEnd"/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Принципал обязан в течение </w:t>
      </w:r>
      <w:r w:rsidR="006B353C">
        <w:rPr>
          <w:sz w:val="28"/>
          <w:szCs w:val="28"/>
        </w:rPr>
        <w:t>10</w:t>
      </w:r>
      <w:r w:rsidRPr="00DD6F42">
        <w:rPr>
          <w:sz w:val="28"/>
          <w:szCs w:val="28"/>
        </w:rPr>
        <w:t xml:space="preserve"> дней со дня получения уведомления, указанного в абзаце первом настоящего пункта,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  <w:sectPr w:rsidR="007766D9" w:rsidRPr="00DD6F42" w:rsidSect="00C3613C">
          <w:headerReference w:type="default" r:id="rId10"/>
          <w:pgSz w:w="11907" w:h="16840" w:code="9"/>
          <w:pgMar w:top="1134" w:right="567" w:bottom="284" w:left="1418" w:header="720" w:footer="720" w:gutter="0"/>
          <w:cols w:space="708"/>
          <w:titlePg/>
          <w:docGrid w:linePitch="326"/>
        </w:sectPr>
      </w:pPr>
    </w:p>
    <w:p w:rsidR="007766D9" w:rsidRPr="00DD6F42" w:rsidRDefault="007766D9" w:rsidP="007766D9">
      <w:pPr>
        <w:autoSpaceDE w:val="0"/>
        <w:autoSpaceDN w:val="0"/>
        <w:adjustRightInd w:val="0"/>
        <w:ind w:left="6663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1</w:t>
      </w:r>
    </w:p>
    <w:p w:rsidR="007766D9" w:rsidRPr="006B353C" w:rsidRDefault="007766D9" w:rsidP="007766D9">
      <w:pPr>
        <w:ind w:left="6663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</w:t>
      </w:r>
      <w:r w:rsidRPr="006B353C">
        <w:rPr>
          <w:bCs/>
        </w:rPr>
        <w:t xml:space="preserve">полном объеме или в какой-либо части гарантии, при предоставлении муниципальной гарантии </w:t>
      </w:r>
      <w:r w:rsidR="006B353C" w:rsidRPr="006B353C">
        <w:rPr>
          <w:kern w:val="2"/>
        </w:rPr>
        <w:t>Никольского муниципального района</w:t>
      </w:r>
      <w:r w:rsidRPr="006B353C">
        <w:rPr>
          <w:bCs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6B353C">
        <w:rPr>
          <w:bCs/>
        </w:rPr>
        <w:t xml:space="preserve"> после предоставления муниципальной гарантии </w:t>
      </w:r>
      <w:r w:rsidR="006B353C" w:rsidRPr="006B353C">
        <w:rPr>
          <w:kern w:val="2"/>
        </w:rPr>
        <w:t>Никольского муниципального района</w:t>
      </w:r>
    </w:p>
    <w:p w:rsidR="007766D9" w:rsidRPr="00DD6F42" w:rsidRDefault="007766D9" w:rsidP="007766D9">
      <w:pPr>
        <w:ind w:left="4678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>Расчет финансовых показателей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c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685"/>
        <w:gridCol w:w="8221"/>
      </w:tblGrid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Обозначение показателя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Формула расчета показателя</w:t>
            </w: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показывает,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</w:t>
            </w:r>
            <w:proofErr w:type="gramStart"/>
            <w:r w:rsidRPr="00DD6F42">
              <w:rPr>
                <w:sz w:val="24"/>
                <w:szCs w:val="24"/>
              </w:rPr>
              <w:t>дств дл</w:t>
            </w:r>
            <w:proofErr w:type="gramEnd"/>
            <w:r w:rsidRPr="00DD6F42">
              <w:rPr>
                <w:sz w:val="24"/>
                <w:szCs w:val="24"/>
              </w:rPr>
              <w:t>я осуществления полного расчета с кредиторами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отношение собственных средств к основным средствам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766D9" w:rsidRPr="00DD6F42" w:rsidRDefault="00C3613C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н.п.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к.п.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н.п.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(к.п.)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н.п.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 код строки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(к.п.)</m:t>
                    </m: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2</w:t>
            </w:r>
            <w:proofErr w:type="gramEnd"/>
            <w:r w:rsidRPr="00DD6F42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покрытия основных средств собственны</w:t>
            </w:r>
            <w:r w:rsidRPr="00DD6F42">
              <w:rPr>
                <w:sz w:val="24"/>
                <w:szCs w:val="24"/>
              </w:rPr>
              <w:lastRenderedPageBreak/>
              <w:t>ми и долгосрочными заемными средствами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lastRenderedPageBreak/>
              <w:t xml:space="preserve">показывает, в какой доле основные средства сформированы за счет собственных и долгосрочных заемных средств организации. Характеризует необходимость </w:t>
            </w:r>
            <w:r w:rsidRPr="00DD6F42">
              <w:rPr>
                <w:sz w:val="24"/>
                <w:szCs w:val="24"/>
              </w:rPr>
              <w:lastRenderedPageBreak/>
              <w:t>продажи организацией своих основных сре</w:t>
            </w:r>
            <w:proofErr w:type="gramStart"/>
            <w:r w:rsidRPr="00DD6F42">
              <w:rPr>
                <w:sz w:val="24"/>
                <w:szCs w:val="24"/>
              </w:rPr>
              <w:t>дств дл</w:t>
            </w:r>
            <w:proofErr w:type="gramEnd"/>
            <w:r w:rsidRPr="00DD6F42">
              <w:rPr>
                <w:sz w:val="24"/>
                <w:szCs w:val="24"/>
              </w:rPr>
              <w:t>я осуществления полного расчета с кредиторами (за исключением обязательств по долгосрочным кредитам и займам)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lastRenderedPageBreak/>
              <w:t>отношение собственных средств и долгосрочных заемных средств (кредитов и займов) к основным средствам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6B353C" w:rsidRDefault="00C3613C" w:rsidP="00964091">
            <w:pPr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1410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1410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.)</m:t>
                    </m: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lastRenderedPageBreak/>
              <w:t>К3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оборотных активов к текущим обязательствам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6B353C" w:rsidRDefault="00C3613C" w:rsidP="00964091">
            <w:pPr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1200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1200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.)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ctrlPr>
                          <w:rPr>
                            <w:rFonts w:ascii="Cambria Math" w:eastAsia="Cambria Math" w:hAnsi="Cambria Math"/>
                            <w:bCs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mbria Math"/>
                          </w:rPr>
                          <m:t>1550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mbria Math"/>
                          </w:rPr>
                          <m:t>1550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.)</m:t>
                        </m:r>
                      </m:e>
                    </m:eqAr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а) для каждого отчетного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C3613C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2200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б) для всего анализируемого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C3613C" w:rsidP="0096409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2200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  <w:lang w:val="en-US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где: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i − номер отчетного периода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lastRenderedPageBreak/>
              <w:t>К5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норма чистой прибыли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а) для каждого отчетного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C3613C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2400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б) для всего анализируемого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C3613C" w:rsidP="0096409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2400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где: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i − номер отчетного периода</w:t>
            </w: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 xml:space="preserve">Примечания: 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2. Используемые сокращения означают следующее: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«</w:t>
      </w:r>
      <w:proofErr w:type="spellStart"/>
      <w:r w:rsidRPr="00DD6F42">
        <w:rPr>
          <w:bCs/>
        </w:rPr>
        <w:t>н.п</w:t>
      </w:r>
      <w:proofErr w:type="spellEnd"/>
      <w:r w:rsidRPr="00DD6F42">
        <w:rPr>
          <w:bCs/>
        </w:rPr>
        <w:t>.» − на начало отчетного периода;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</w:rPr>
        <w:t>«</w:t>
      </w:r>
      <w:proofErr w:type="spellStart"/>
      <w:r w:rsidRPr="00DD6F42">
        <w:rPr>
          <w:bCs/>
        </w:rPr>
        <w:t>к.п</w:t>
      </w:r>
      <w:proofErr w:type="spellEnd"/>
      <w:r w:rsidRPr="00DD6F42">
        <w:rPr>
          <w:bCs/>
        </w:rPr>
        <w:t>.» − на конец отчетного периода.</w:t>
      </w: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576D" w:rsidRPr="00DD6F42" w:rsidRDefault="003F576D" w:rsidP="003F576D">
      <w:pPr>
        <w:autoSpaceDE w:val="0"/>
        <w:autoSpaceDN w:val="0"/>
        <w:adjustRightInd w:val="0"/>
        <w:rPr>
          <w:sz w:val="28"/>
          <w:szCs w:val="28"/>
        </w:rPr>
      </w:pPr>
    </w:p>
    <w:p w:rsidR="00804DDC" w:rsidRPr="00DD6F42" w:rsidRDefault="00804DDC" w:rsidP="00804DD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6D9" w:rsidRPr="00DD6F42" w:rsidRDefault="007766D9" w:rsidP="003F576D">
      <w:pPr>
        <w:autoSpaceDE w:val="0"/>
        <w:autoSpaceDN w:val="0"/>
        <w:adjustRightInd w:val="0"/>
        <w:ind w:left="9072"/>
        <w:jc w:val="both"/>
        <w:sectPr w:rsidR="007766D9" w:rsidRPr="00DD6F42" w:rsidSect="007766D9">
          <w:pgSz w:w="16840" w:h="11907" w:orient="landscape" w:code="9"/>
          <w:pgMar w:top="1418" w:right="1134" w:bottom="567" w:left="1134" w:header="720" w:footer="720" w:gutter="0"/>
          <w:cols w:space="708"/>
          <w:titlePg/>
          <w:docGrid w:linePitch="326"/>
        </w:sectPr>
      </w:pPr>
    </w:p>
    <w:p w:rsidR="007766D9" w:rsidRPr="00DD6F42" w:rsidRDefault="007766D9" w:rsidP="007766D9">
      <w:pPr>
        <w:autoSpaceDE w:val="0"/>
        <w:autoSpaceDN w:val="0"/>
        <w:adjustRightInd w:val="0"/>
        <w:ind w:left="5103" w:hanging="425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2</w:t>
      </w:r>
    </w:p>
    <w:p w:rsidR="007766D9" w:rsidRPr="00DD6F42" w:rsidRDefault="007766D9" w:rsidP="007766D9">
      <w:pPr>
        <w:ind w:left="4678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="006B353C" w:rsidRPr="006B353C">
        <w:t xml:space="preserve"> </w:t>
      </w:r>
      <w:r w:rsidR="006B353C" w:rsidRPr="006B353C">
        <w:rPr>
          <w:bCs/>
        </w:rPr>
        <w:t>Никольского муниципального района</w:t>
      </w:r>
      <w:r w:rsidRPr="00DD6F42">
        <w:rPr>
          <w:bCs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DD6F42">
        <w:rPr>
          <w:bCs/>
        </w:rPr>
        <w:t xml:space="preserve"> после предоставления муниципальной гарантии </w:t>
      </w:r>
      <w:r w:rsidR="006B353C" w:rsidRPr="006B353C">
        <w:rPr>
          <w:bCs/>
        </w:rPr>
        <w:t xml:space="preserve">Никольского муниципального района 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F42">
        <w:rPr>
          <w:sz w:val="28"/>
          <w:szCs w:val="28"/>
        </w:rPr>
        <w:t>(форма)</w:t>
      </w:r>
    </w:p>
    <w:p w:rsidR="007766D9" w:rsidRPr="00DD6F42" w:rsidRDefault="007766D9" w:rsidP="007766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 xml:space="preserve">Заключение 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по результатам анализа финансового состояния принципала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Анализ финансового состояния __________________________________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                (наименование принципала, ИНН, ОГРН)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D6F42">
        <w:rPr>
          <w:sz w:val="28"/>
          <w:szCs w:val="28"/>
        </w:rPr>
        <w:t>проведен за период _________________________________________________</w:t>
      </w:r>
      <w:proofErr w:type="gramEnd"/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Результаты оценки финансового состояния принципала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1185"/>
        <w:gridCol w:w="1195"/>
        <w:gridCol w:w="1386"/>
        <w:gridCol w:w="2785"/>
        <w:gridCol w:w="1120"/>
      </w:tblGrid>
      <w:tr w:rsidR="007766D9" w:rsidRPr="00DD6F42" w:rsidTr="00964091">
        <w:tc>
          <w:tcPr>
            <w:tcW w:w="1900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Показатель</w:t>
            </w:r>
          </w:p>
        </w:tc>
        <w:tc>
          <w:tcPr>
            <w:tcW w:w="3766" w:type="dxa"/>
            <w:gridSpan w:val="3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Значение</w:t>
            </w:r>
          </w:p>
        </w:tc>
        <w:tc>
          <w:tcPr>
            <w:tcW w:w="2785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Допустимое значение</w:t>
            </w:r>
          </w:p>
        </w:tc>
        <w:tc>
          <w:tcPr>
            <w:tcW w:w="1120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Вывод</w:t>
            </w:r>
          </w:p>
        </w:tc>
      </w:tr>
      <w:tr w:rsidR="007766D9" w:rsidRPr="00DD6F42" w:rsidTr="00964091">
        <w:tc>
          <w:tcPr>
            <w:tcW w:w="1900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(1-й отчетный период)</w:t>
            </w: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(2-й отчетный период)</w:t>
            </w: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(последний отчетный период)</w:t>
            </w:r>
          </w:p>
        </w:tc>
        <w:tc>
          <w:tcPr>
            <w:tcW w:w="2785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20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Стоимость чистых активов</w:t>
            </w:r>
            <w:r w:rsidRPr="00DD6F42">
              <w:rPr>
                <w:sz w:val="24"/>
                <w:vertAlign w:val="superscript"/>
              </w:rPr>
              <w:footnoteReference w:id="1"/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Справочно:</w:t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величина уставного капитала</w:t>
            </w:r>
            <w:r w:rsidRPr="00DD6F42">
              <w:rPr>
                <w:sz w:val="24"/>
                <w:vertAlign w:val="superscript"/>
              </w:rPr>
              <w:footnoteReference w:id="2"/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 xml:space="preserve">определенный законом минимальный </w:t>
            </w:r>
            <w:r w:rsidRPr="00DD6F42">
              <w:rPr>
                <w:sz w:val="24"/>
              </w:rPr>
              <w:lastRenderedPageBreak/>
              <w:t>размер уставного капитала</w:t>
            </w:r>
            <w:r w:rsidRPr="00DD6F42">
              <w:rPr>
                <w:sz w:val="24"/>
                <w:vertAlign w:val="superscript"/>
              </w:rPr>
              <w:footnoteReference w:id="3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  <w:lang w:val="en-US"/>
              </w:rPr>
            </w:pPr>
            <w:r w:rsidRPr="00DD6F42">
              <w:rPr>
                <w:sz w:val="24"/>
                <w:lang w:val="en-US"/>
              </w:rPr>
              <w:t>X</w:t>
            </w: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  <w:lang w:val="en-US"/>
              </w:rPr>
              <w:t>X</w:t>
            </w: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</w:t>
            </w:r>
            <w:proofErr w:type="gramStart"/>
            <w:r w:rsidRPr="00DD6F42">
              <w:rPr>
                <w:sz w:val="24"/>
              </w:rPr>
              <w:t>последних</w:t>
            </w:r>
            <w:proofErr w:type="gramEnd"/>
            <w:r w:rsidRPr="00DD6F42">
              <w:rPr>
                <w:sz w:val="24"/>
              </w:rPr>
              <w:t xml:space="preserve"> финансовых года, но в любом случае не менее определенного законом минимального </w:t>
            </w:r>
            <w:r w:rsidRPr="00DD6F42">
              <w:rPr>
                <w:sz w:val="24"/>
              </w:rPr>
              <w:lastRenderedPageBreak/>
              <w:t>размера уставного капитала на конец последнего отчетного периода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Коэффициент покрытия основных средств собственными средствами</w:t>
            </w:r>
            <w:r w:rsidRPr="00DD6F42">
              <w:rPr>
                <w:sz w:val="24"/>
                <w:vertAlign w:val="superscript"/>
              </w:rPr>
              <w:footnoteReference w:id="4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0,5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и долгосрочными заемными средствами</w:t>
            </w:r>
            <w:r w:rsidRPr="00DD6F42">
              <w:rPr>
                <w:sz w:val="24"/>
                <w:vertAlign w:val="superscript"/>
              </w:rPr>
              <w:footnoteReference w:id="5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1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текущей ликвидности</w:t>
            </w:r>
            <w:r w:rsidRPr="00DD6F42">
              <w:rPr>
                <w:sz w:val="24"/>
                <w:vertAlign w:val="superscript"/>
              </w:rPr>
              <w:footnoteReference w:id="6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1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в отчетном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в анализируемом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в отчетном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в анализируемом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>Заключение: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>финансовое состояние ____________________ признано __________________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</w:t>
      </w:r>
      <w:proofErr w:type="gramStart"/>
      <w:r w:rsidRPr="00DD6F42">
        <w:rPr>
          <w:sz w:val="20"/>
          <w:szCs w:val="20"/>
        </w:rPr>
        <w:t>(наименование принципала)                                   (удовлетворительным/</w:t>
      </w:r>
      <w:proofErr w:type="gramEnd"/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                                                                                  неудовлетворительным)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 xml:space="preserve">Дата __________________ Подпись, должность, </w:t>
      </w:r>
      <w:proofErr w:type="spellStart"/>
      <w:r w:rsidRPr="00DD6F42">
        <w:rPr>
          <w:sz w:val="28"/>
          <w:szCs w:val="28"/>
        </w:rPr>
        <w:t>ф.и.</w:t>
      </w:r>
      <w:proofErr w:type="gramStart"/>
      <w:r w:rsidRPr="00DD6F42">
        <w:rPr>
          <w:sz w:val="28"/>
          <w:szCs w:val="28"/>
        </w:rPr>
        <w:t>о</w:t>
      </w:r>
      <w:proofErr w:type="gramEnd"/>
      <w:r w:rsidRPr="00DD6F42">
        <w:rPr>
          <w:sz w:val="28"/>
          <w:szCs w:val="28"/>
        </w:rPr>
        <w:t>.</w:t>
      </w:r>
      <w:proofErr w:type="spellEnd"/>
      <w:r w:rsidRPr="00DD6F42">
        <w:rPr>
          <w:sz w:val="28"/>
          <w:szCs w:val="28"/>
        </w:rPr>
        <w:t xml:space="preserve"> ___________________</w:t>
      </w:r>
    </w:p>
    <w:p w:rsidR="007766D9" w:rsidRPr="00DD6F42" w:rsidRDefault="007766D9" w:rsidP="006B353C">
      <w:pPr>
        <w:autoSpaceDE w:val="0"/>
        <w:autoSpaceDN w:val="0"/>
        <w:adjustRightInd w:val="0"/>
      </w:pPr>
      <w:r w:rsidRPr="00DD6F42">
        <w:rPr>
          <w:sz w:val="28"/>
          <w:szCs w:val="28"/>
        </w:rPr>
        <w:t xml:space="preserve">                                                                                                                  М.П.</w:t>
      </w:r>
      <w:r w:rsidRPr="00DD6F42">
        <w:br w:type="page"/>
      </w:r>
    </w:p>
    <w:p w:rsidR="007766D9" w:rsidRPr="00DD6F42" w:rsidRDefault="007766D9" w:rsidP="007766D9">
      <w:pPr>
        <w:autoSpaceDE w:val="0"/>
        <w:autoSpaceDN w:val="0"/>
        <w:adjustRightInd w:val="0"/>
        <w:ind w:left="5103" w:hanging="425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3</w:t>
      </w:r>
    </w:p>
    <w:p w:rsidR="007766D9" w:rsidRPr="00DD6F42" w:rsidRDefault="007766D9" w:rsidP="007766D9">
      <w:pPr>
        <w:ind w:left="4678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="006B353C" w:rsidRPr="006B353C">
        <w:t xml:space="preserve"> </w:t>
      </w:r>
      <w:r w:rsidR="006B353C" w:rsidRPr="006B353C">
        <w:rPr>
          <w:bCs/>
        </w:rPr>
        <w:t>Никольского муниципального района</w:t>
      </w:r>
      <w:r w:rsidRPr="00DD6F42">
        <w:rPr>
          <w:bCs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DD6F42">
        <w:rPr>
          <w:bCs/>
        </w:rPr>
        <w:t xml:space="preserve"> после предоставления муниципальной гарантии </w:t>
      </w:r>
      <w:r w:rsidR="006B353C" w:rsidRPr="006B353C">
        <w:rPr>
          <w:bCs/>
        </w:rPr>
        <w:t xml:space="preserve">Никольского муниципального района 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Значения показателей финансового состояния принципала с распределением по группам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9"/>
        <w:gridCol w:w="1866"/>
        <w:gridCol w:w="1866"/>
        <w:gridCol w:w="1570"/>
      </w:tblGrid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А</w:t>
            </w:r>
            <w:proofErr w:type="gramEnd"/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средствами (К</w:t>
            </w:r>
            <w:proofErr w:type="gramStart"/>
            <w:r w:rsidRPr="00DD6F42">
              <w:rPr>
                <w:sz w:val="24"/>
              </w:rPr>
              <w:t>2</w:t>
            </w:r>
            <w:proofErr w:type="gramEnd"/>
            <w:r w:rsidRPr="00DD6F42">
              <w:rPr>
                <w:sz w:val="24"/>
              </w:rPr>
              <w:t>)</w:t>
            </w:r>
            <w:r w:rsidRPr="00DD6F42">
              <w:rPr>
                <w:sz w:val="24"/>
                <w:vertAlign w:val="superscript"/>
              </w:rPr>
              <w:footnoteReference w:id="7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0,5, но меньше 1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1,5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1,5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и долгосрочными заемными средствами (К</w:t>
            </w:r>
            <w:proofErr w:type="gramStart"/>
            <w:r w:rsidRPr="00DD6F42">
              <w:rPr>
                <w:sz w:val="24"/>
              </w:rPr>
              <w:t>2</w:t>
            </w:r>
            <w:proofErr w:type="gramEnd"/>
            <w:r w:rsidRPr="00DD6F42">
              <w:rPr>
                <w:sz w:val="24"/>
              </w:rPr>
              <w:t>.1)</w:t>
            </w:r>
            <w:r w:rsidRPr="00DD6F42">
              <w:rPr>
                <w:sz w:val="24"/>
                <w:vertAlign w:val="superscript"/>
              </w:rPr>
              <w:footnoteReference w:id="8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1,5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1,5, но меньше 2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2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текущей ликвидности (К3)</w:t>
            </w:r>
            <w:r w:rsidRPr="00DD6F42">
              <w:rPr>
                <w:sz w:val="24"/>
                <w:vertAlign w:val="superscript"/>
              </w:rPr>
              <w:footnoteReference w:id="9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5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2, но меньше 5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или равен 2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(К</w:t>
            </w:r>
            <w:proofErr w:type="gramStart"/>
            <w:r w:rsidRPr="00DD6F42">
              <w:rPr>
                <w:sz w:val="24"/>
              </w:rPr>
              <w:t>4</w:t>
            </w:r>
            <w:proofErr w:type="gramEnd"/>
            <w:r w:rsidRPr="00DD6F42">
              <w:rPr>
                <w:sz w:val="24"/>
              </w:rPr>
              <w:t>)</w:t>
            </w:r>
          </w:p>
        </w:tc>
        <w:tc>
          <w:tcPr>
            <w:tcW w:w="1866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значения показателей в отчетных периодах больше или равны 0 на протяжении большей части </w:t>
            </w:r>
            <w:r w:rsidRPr="00DD6F42">
              <w:rPr>
                <w:sz w:val="24"/>
              </w:rPr>
              <w:lastRenderedPageBreak/>
              <w:t>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0"/>
            </w:r>
            <w:r w:rsidRPr="00DD6F42">
              <w:rPr>
                <w:sz w:val="24"/>
              </w:rPr>
              <w:t>, а значения показателей для всего 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1"/>
            </w:r>
            <w:r w:rsidRPr="00DD6F42">
              <w:rPr>
                <w:sz w:val="24"/>
              </w:rPr>
              <w:t xml:space="preserve"> меньше 0</w:t>
            </w:r>
          </w:p>
        </w:tc>
        <w:tc>
          <w:tcPr>
            <w:tcW w:w="1866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 xml:space="preserve">если хотя бы в одном отчетном периоде значения показателей меньше или равны 0, но для </w:t>
            </w:r>
            <w:r w:rsidRPr="00DD6F42">
              <w:rPr>
                <w:sz w:val="24"/>
              </w:rPr>
              <w:lastRenderedPageBreak/>
              <w:t>всего 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2"/>
            </w:r>
            <w:r w:rsidRPr="00DD6F42">
              <w:rPr>
                <w:sz w:val="24"/>
              </w:rPr>
              <w:t xml:space="preserve">  больше или равны 0</w:t>
            </w:r>
          </w:p>
        </w:tc>
        <w:tc>
          <w:tcPr>
            <w:tcW w:w="1570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значения показателей во всех отчетных периодах больше 0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(К5)</w:t>
            </w:r>
          </w:p>
        </w:tc>
        <w:tc>
          <w:tcPr>
            <w:tcW w:w="1866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Отношение суммы заемных средств (с учетом суммы кредитов (облигационных займов), привлекаемых принципалом под муниципальные гарантии) и выданного принципалом обеспечения обязательств и платежей к собственным средствам (К</w:t>
            </w:r>
            <w:proofErr w:type="gramStart"/>
            <w:r w:rsidRPr="00DD6F42">
              <w:rPr>
                <w:sz w:val="24"/>
              </w:rPr>
              <w:t>6</w:t>
            </w:r>
            <w:proofErr w:type="gramEnd"/>
            <w:r w:rsidRPr="00DD6F42">
              <w:rPr>
                <w:sz w:val="24"/>
              </w:rPr>
              <w:t>)</w:t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5, но больше 3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3, но больше 1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1</w:t>
            </w: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6BF" w:rsidRPr="00DD6F42" w:rsidRDefault="00E636BF" w:rsidP="003F576D">
      <w:pPr>
        <w:autoSpaceDE w:val="0"/>
        <w:autoSpaceDN w:val="0"/>
        <w:adjustRightInd w:val="0"/>
        <w:ind w:left="9072"/>
        <w:jc w:val="both"/>
      </w:pPr>
    </w:p>
    <w:sectPr w:rsidR="00E636BF" w:rsidRPr="00DD6F42" w:rsidSect="00657903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63" w:rsidRDefault="00084763" w:rsidP="000554D7">
      <w:r>
        <w:separator/>
      </w:r>
    </w:p>
  </w:endnote>
  <w:endnote w:type="continuationSeparator" w:id="0">
    <w:p w:rsidR="00084763" w:rsidRDefault="00084763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63" w:rsidRDefault="00084763" w:rsidP="000554D7">
      <w:r>
        <w:separator/>
      </w:r>
    </w:p>
  </w:footnote>
  <w:footnote w:type="continuationSeparator" w:id="0">
    <w:p w:rsidR="00084763" w:rsidRDefault="00084763" w:rsidP="000554D7">
      <w:r>
        <w:continuationSeparator/>
      </w:r>
    </w:p>
  </w:footnote>
  <w:footnote w:id="1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2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3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4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5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6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7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8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</w:t>
      </w:r>
      <w:r>
        <w:t xml:space="preserve"> </w:t>
      </w:r>
      <w:r w:rsidRPr="005B00AC">
        <w:t>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9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</w:t>
      </w:r>
      <w:r>
        <w:t xml:space="preserve"> </w:t>
      </w:r>
      <w:r w:rsidRPr="005B00AC">
        <w:t xml:space="preserve">Используется </w:t>
      </w:r>
      <w:r>
        <w:t>наибольшее</w:t>
      </w:r>
      <w:r w:rsidRPr="005B00AC">
        <w:t xml:space="preserve"> из расчетных значений показателя финансового состояния принципала в отчетных периодах, имеющих допустимые значения</w:t>
      </w:r>
      <w:r>
        <w:t>.</w:t>
      </w:r>
    </w:p>
  </w:footnote>
  <w:footnote w:id="10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1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2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CD4A57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C36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84763"/>
    <w:rsid w:val="000F7B01"/>
    <w:rsid w:val="00151B36"/>
    <w:rsid w:val="001708AE"/>
    <w:rsid w:val="001E6412"/>
    <w:rsid w:val="001F563D"/>
    <w:rsid w:val="0023455D"/>
    <w:rsid w:val="00237591"/>
    <w:rsid w:val="0027331B"/>
    <w:rsid w:val="002B3C58"/>
    <w:rsid w:val="00371E21"/>
    <w:rsid w:val="00376023"/>
    <w:rsid w:val="003D47C6"/>
    <w:rsid w:val="003F576D"/>
    <w:rsid w:val="004A6101"/>
    <w:rsid w:val="00583389"/>
    <w:rsid w:val="00591CC8"/>
    <w:rsid w:val="005F74F3"/>
    <w:rsid w:val="006344F3"/>
    <w:rsid w:val="00636229"/>
    <w:rsid w:val="00696E2D"/>
    <w:rsid w:val="006A2DD4"/>
    <w:rsid w:val="006B353C"/>
    <w:rsid w:val="006F38D2"/>
    <w:rsid w:val="00715906"/>
    <w:rsid w:val="00716385"/>
    <w:rsid w:val="007766D9"/>
    <w:rsid w:val="007C3B96"/>
    <w:rsid w:val="007D1774"/>
    <w:rsid w:val="007F57B9"/>
    <w:rsid w:val="00804DDC"/>
    <w:rsid w:val="008351C8"/>
    <w:rsid w:val="0087353D"/>
    <w:rsid w:val="008C4C27"/>
    <w:rsid w:val="009B0882"/>
    <w:rsid w:val="00A10A5E"/>
    <w:rsid w:val="00A11554"/>
    <w:rsid w:val="00A4215A"/>
    <w:rsid w:val="00A70F8E"/>
    <w:rsid w:val="00A73E51"/>
    <w:rsid w:val="00B45730"/>
    <w:rsid w:val="00B619EC"/>
    <w:rsid w:val="00B66D83"/>
    <w:rsid w:val="00BB1B1F"/>
    <w:rsid w:val="00BB2D6F"/>
    <w:rsid w:val="00BE6AD3"/>
    <w:rsid w:val="00C1075D"/>
    <w:rsid w:val="00C25D74"/>
    <w:rsid w:val="00C3613C"/>
    <w:rsid w:val="00C52451"/>
    <w:rsid w:val="00CB0B3A"/>
    <w:rsid w:val="00CC2DD3"/>
    <w:rsid w:val="00CD09C4"/>
    <w:rsid w:val="00CD4A57"/>
    <w:rsid w:val="00CF1987"/>
    <w:rsid w:val="00D963FB"/>
    <w:rsid w:val="00DA20DE"/>
    <w:rsid w:val="00DB085B"/>
    <w:rsid w:val="00DC3418"/>
    <w:rsid w:val="00DD1441"/>
    <w:rsid w:val="00DD6F42"/>
    <w:rsid w:val="00DE1820"/>
    <w:rsid w:val="00E1113C"/>
    <w:rsid w:val="00E37263"/>
    <w:rsid w:val="00E556B5"/>
    <w:rsid w:val="00E636BF"/>
    <w:rsid w:val="00EB3A56"/>
    <w:rsid w:val="00F20C45"/>
    <w:rsid w:val="00F91289"/>
    <w:rsid w:val="00FC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DD6F42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DD6F42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4E42-D1EC-4D11-AE4A-BA379BD2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11</cp:revision>
  <cp:lastPrinted>2022-07-08T06:15:00Z</cp:lastPrinted>
  <dcterms:created xsi:type="dcterms:W3CDTF">2022-07-08T05:34:00Z</dcterms:created>
  <dcterms:modified xsi:type="dcterms:W3CDTF">2022-07-20T05:41:00Z</dcterms:modified>
</cp:coreProperties>
</file>