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9050" distR="0">
            <wp:extent cx="617855" cy="8020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>
      <w:pPr>
        <w:pStyle w:val="Normal"/>
        <w:tabs>
          <w:tab w:val="left" w:pos="414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>
      <w:pPr>
        <w:pStyle w:val="Style20"/>
        <w:rPr>
          <w:sz w:val="28"/>
          <w:szCs w:val="28"/>
        </w:rPr>
      </w:pPr>
      <w:r>
        <w:rPr>
          <w:sz w:val="24"/>
          <w:szCs w:val="24"/>
        </w:rPr>
        <w:t xml:space="preserve">АДМИНИСТРАЦИЯ НИКОЛЬСКОГО </w:t>
      </w:r>
    </w:p>
    <w:p>
      <w:pPr>
        <w:pStyle w:val="Style20"/>
        <w:rPr>
          <w:sz w:val="16"/>
          <w:szCs w:val="16"/>
        </w:rPr>
      </w:pPr>
      <w:r>
        <w:rPr>
          <w:sz w:val="24"/>
          <w:szCs w:val="24"/>
        </w:rPr>
        <w:t>МУНИЦИПАЛЬНОГО РАЙОНА</w:t>
      </w:r>
    </w:p>
    <w:p>
      <w:pPr>
        <w:pStyle w:val="Style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rPr>
          <w:sz w:val="16"/>
          <w:szCs w:val="16"/>
        </w:rPr>
      </w:pPr>
      <w:r>
        <w:rPr>
          <w:sz w:val="24"/>
          <w:szCs w:val="24"/>
        </w:rPr>
        <w:t>ПОСТАНОВЛЕНИЕ</w:t>
      </w:r>
    </w:p>
    <w:p>
      <w:pPr>
        <w:pStyle w:val="Style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29.04.2021 года                                                                                                                                  № 335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г. Никольск</w:t>
      </w:r>
    </w:p>
    <w:p>
      <w:pPr>
        <w:pStyle w:val="Normal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tLeast" w:line="288"/>
        <w:textAlignment w:val="baseline"/>
        <w:rPr>
          <w:b/>
          <w:b/>
          <w:bCs/>
          <w:color w:val="000000"/>
        </w:rPr>
      </w:pPr>
      <w:r>
        <w:rPr>
          <w:spacing w:val="2"/>
          <w:sz w:val="24"/>
          <w:szCs w:val="24"/>
        </w:rPr>
        <w:t>О внесении изменений в муниципальную программу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сферы культуры  и архивного дела </w:t>
      </w:r>
    </w:p>
    <w:p>
      <w:pPr>
        <w:pStyle w:val="Normal"/>
        <w:jc w:val="both"/>
        <w:rPr>
          <w:spacing w:val="2"/>
        </w:rPr>
      </w:pPr>
      <w:r>
        <w:rPr>
          <w:sz w:val="24"/>
          <w:szCs w:val="24"/>
        </w:rPr>
        <w:t>Никольского муниципального района на 2020-2025 годы»,</w:t>
      </w:r>
      <w:r>
        <w:rPr>
          <w:spacing w:val="2"/>
          <w:sz w:val="24"/>
          <w:szCs w:val="24"/>
        </w:rPr>
        <w:t xml:space="preserve"> </w:t>
      </w:r>
    </w:p>
    <w:p>
      <w:pPr>
        <w:pStyle w:val="Normal"/>
        <w:jc w:val="both"/>
        <w:rPr>
          <w:spacing w:val="2"/>
        </w:rPr>
      </w:pPr>
      <w:r>
        <w:rPr>
          <w:spacing w:val="2"/>
          <w:sz w:val="24"/>
          <w:szCs w:val="24"/>
        </w:rPr>
        <w:t xml:space="preserve">утвержденную постановлением администрации </w:t>
      </w:r>
    </w:p>
    <w:p>
      <w:pPr>
        <w:pStyle w:val="Normal"/>
        <w:jc w:val="both"/>
        <w:rPr/>
      </w:pPr>
      <w:r>
        <w:rPr>
          <w:spacing w:val="2"/>
        </w:rPr>
        <w:t>Никольского муниципального района от 04.10.2019 года № 1017</w:t>
      </w:r>
    </w:p>
    <w:p>
      <w:pPr>
        <w:pStyle w:val="Style20"/>
        <w:jc w:val="left"/>
        <w:rPr>
          <w:spacing w:val="2"/>
        </w:rPr>
      </w:pPr>
      <w:r>
        <w:rPr>
          <w:spacing w:val="2"/>
        </w:rPr>
      </w:r>
    </w:p>
    <w:p>
      <w:pPr>
        <w:pStyle w:val="Style20"/>
        <w:ind w:firstLine="709"/>
        <w:jc w:val="both"/>
        <w:rPr>
          <w:b w:val="false"/>
          <w:b w:val="false"/>
          <w:bCs w:val="false"/>
          <w:spacing w:val="2"/>
          <w:sz w:val="24"/>
        </w:rPr>
      </w:pPr>
      <w:r>
        <w:rPr>
          <w:b w:val="false"/>
          <w:spacing w:val="2"/>
          <w:sz w:val="24"/>
        </w:rPr>
        <w:t>В соответствии со статьей 179 Бюджетного кодекса РФ, 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администрация Никольского муниципального района,</w:t>
      </w:r>
    </w:p>
    <w:p>
      <w:pPr>
        <w:pStyle w:val="Style20"/>
        <w:ind w:firstLine="709"/>
        <w:jc w:val="both"/>
        <w:rPr>
          <w:b w:val="false"/>
          <w:b w:val="false"/>
          <w:bCs w:val="false"/>
          <w:spacing w:val="2"/>
          <w:sz w:val="24"/>
        </w:rPr>
      </w:pPr>
      <w:r>
        <w:rPr>
          <w:b w:val="false"/>
          <w:bCs w:val="false"/>
          <w:spacing w:val="2"/>
          <w:sz w:val="24"/>
        </w:rPr>
      </w:r>
    </w:p>
    <w:p>
      <w:pPr>
        <w:pStyle w:val="Style20"/>
        <w:ind w:firstLine="709"/>
        <w:jc w:val="both"/>
        <w:rPr>
          <w:b w:val="false"/>
          <w:b w:val="false"/>
          <w:bCs w:val="false"/>
          <w:spacing w:val="2"/>
          <w:sz w:val="24"/>
        </w:rPr>
      </w:pPr>
      <w:r>
        <w:rPr>
          <w:b w:val="false"/>
          <w:bCs w:val="false"/>
          <w:spacing w:val="2"/>
          <w:sz w:val="24"/>
        </w:rPr>
        <w:t>ПОСТАНОВЛЯЕТ:</w:t>
      </w:r>
    </w:p>
    <w:p>
      <w:pPr>
        <w:pStyle w:val="Style20"/>
        <w:ind w:firstLine="709"/>
        <w:jc w:val="both"/>
        <w:rPr>
          <w:b w:val="false"/>
          <w:b w:val="false"/>
          <w:bCs w:val="false"/>
          <w:spacing w:val="2"/>
          <w:sz w:val="24"/>
        </w:rPr>
      </w:pPr>
      <w:r>
        <w:rPr>
          <w:b w:val="false"/>
          <w:bCs w:val="false"/>
          <w:spacing w:val="2"/>
          <w:sz w:val="24"/>
        </w:rPr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pacing w:val="2"/>
        </w:rPr>
      </w:pPr>
      <w:r>
        <w:rPr>
          <w:spacing w:val="2"/>
        </w:rPr>
        <w:t>Внести в муниципальную программу</w:t>
      </w:r>
      <w:r>
        <w:rPr>
          <w:bCs/>
          <w:color w:val="000000"/>
        </w:rPr>
        <w:t xml:space="preserve"> </w:t>
      </w:r>
      <w:r>
        <w:rPr/>
        <w:t xml:space="preserve">«Развитие сферы культуры  и архивного дела Никольского муниципального района на 2020-2025 годы», утвержденную постановлением администрации Никольского муниципального района от 04.10.2019 года №1017 </w:t>
      </w:r>
      <w:r>
        <w:rPr>
          <w:spacing w:val="2"/>
        </w:rPr>
        <w:t>(далее – муниципальная программа) следующие изменения:</w:t>
      </w:r>
    </w:p>
    <w:p>
      <w:pPr>
        <w:pStyle w:val="ListParagraph"/>
        <w:numPr>
          <w:ilvl w:val="1"/>
          <w:numId w:val="2"/>
        </w:numPr>
        <w:ind w:left="21" w:firstLine="546"/>
        <w:jc w:val="both"/>
        <w:rPr/>
      </w:pPr>
      <w:r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90"/>
        <w:gridCol w:w="7223"/>
      </w:tblGrid>
      <w:tr>
        <w:trPr/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Объем финансового обеспечения программы</w:t>
            </w:r>
          </w:p>
        </w:tc>
        <w:tc>
          <w:tcPr>
            <w:tcW w:w="7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Общий объем расходов на реализацию Программы составляет: 330783,3 тыс.руб., в том числе по годам реализации: </w:t>
            </w:r>
          </w:p>
          <w:p>
            <w:pPr>
              <w:pStyle w:val="Normal"/>
              <w:rPr/>
            </w:pPr>
            <w:r>
              <w:rPr/>
              <w:t>2020 – 54395,3 тыс. руб.,</w:t>
            </w:r>
          </w:p>
          <w:p>
            <w:pPr>
              <w:pStyle w:val="Normal"/>
              <w:jc w:val="both"/>
              <w:rPr/>
            </w:pPr>
            <w:r>
              <w:rPr/>
              <w:t>2021 – 55390,8 тыс.руб.,</w:t>
            </w:r>
          </w:p>
          <w:p>
            <w:pPr>
              <w:pStyle w:val="Normal"/>
              <w:jc w:val="both"/>
              <w:rPr/>
            </w:pPr>
            <w:r>
              <w:rPr/>
              <w:t>2022 – 55679,3 тыс.руб.,</w:t>
            </w:r>
          </w:p>
          <w:p>
            <w:pPr>
              <w:pStyle w:val="Normal"/>
              <w:jc w:val="both"/>
              <w:rPr/>
            </w:pPr>
            <w:r>
              <w:rPr/>
              <w:t>2023 – 56314,3тыс.руб.,</w:t>
            </w:r>
          </w:p>
          <w:p>
            <w:pPr>
              <w:pStyle w:val="Normal"/>
              <w:jc w:val="both"/>
              <w:rPr/>
            </w:pPr>
            <w:r>
              <w:rPr/>
              <w:t>2024 – 54501,8 тыс.руб.,</w:t>
            </w:r>
          </w:p>
          <w:p>
            <w:pPr>
              <w:pStyle w:val="Normal"/>
              <w:jc w:val="both"/>
              <w:rPr/>
            </w:pPr>
            <w:r>
              <w:rPr/>
              <w:t>2025 – 54501,8 тыс.руб.</w:t>
            </w:r>
          </w:p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  <w:p>
            <w:pPr>
              <w:pStyle w:val="Normal"/>
              <w:jc w:val="both"/>
              <w:rPr/>
            </w:pPr>
            <w:r>
              <w:rPr/>
              <w:t>-собственные доходы районного бюджета -288088,6 тыс.руб., в том числе по годам реализации:</w:t>
            </w:r>
          </w:p>
          <w:p>
            <w:pPr>
              <w:pStyle w:val="Normal"/>
              <w:rPr/>
            </w:pPr>
            <w:r>
              <w:rPr/>
              <w:t>2020 – 43179,4 тыс. руб.,</w:t>
            </w:r>
          </w:p>
          <w:p>
            <w:pPr>
              <w:pStyle w:val="Normal"/>
              <w:jc w:val="both"/>
              <w:rPr/>
            </w:pPr>
            <w:r>
              <w:rPr/>
              <w:t>2021 – 48775,8 тыс.руб.,</w:t>
            </w:r>
          </w:p>
          <w:p>
            <w:pPr>
              <w:pStyle w:val="Normal"/>
              <w:jc w:val="both"/>
              <w:rPr/>
            </w:pPr>
            <w:r>
              <w:rPr/>
              <w:t>2022 – 48557,1 тыс.руб.,</w:t>
            </w:r>
          </w:p>
          <w:p>
            <w:pPr>
              <w:pStyle w:val="Normal"/>
              <w:jc w:val="both"/>
              <w:rPr/>
            </w:pPr>
            <w:r>
              <w:rPr/>
              <w:t>2023 – 49192,1 тыс.руб.,</w:t>
            </w:r>
          </w:p>
          <w:p>
            <w:pPr>
              <w:pStyle w:val="Normal"/>
              <w:jc w:val="both"/>
              <w:rPr/>
            </w:pPr>
            <w:r>
              <w:rPr/>
              <w:t>2024 – 49192,1 тыс.руб.</w:t>
            </w:r>
          </w:p>
          <w:p>
            <w:pPr>
              <w:pStyle w:val="Normal"/>
              <w:jc w:val="both"/>
              <w:rPr/>
            </w:pPr>
            <w:r>
              <w:rPr/>
              <w:t>2025 – 49192,1 тыс.руб.</w:t>
            </w:r>
          </w:p>
          <w:p>
            <w:pPr>
              <w:pStyle w:val="Normal"/>
              <w:jc w:val="both"/>
              <w:rPr/>
            </w:pPr>
            <w:r>
              <w:rPr/>
              <w:t>-межбюджетные трансферты из областного бюджета-9929,6 тыс.руб., в том числе по годам реализации:</w:t>
            </w:r>
          </w:p>
          <w:p>
            <w:pPr>
              <w:pStyle w:val="Normal"/>
              <w:rPr/>
            </w:pPr>
            <w:r>
              <w:rPr/>
              <w:t>2020 – 3243,5 тыс. руб.,</w:t>
            </w:r>
          </w:p>
          <w:p>
            <w:pPr>
              <w:pStyle w:val="Normal"/>
              <w:jc w:val="both"/>
              <w:rPr/>
            </w:pPr>
            <w:r>
              <w:rPr/>
              <w:t>2021 – 2062,3 тыс.руб.,</w:t>
            </w:r>
          </w:p>
          <w:p>
            <w:pPr>
              <w:pStyle w:val="Normal"/>
              <w:jc w:val="both"/>
              <w:rPr/>
            </w:pPr>
            <w:r>
              <w:rPr/>
              <w:t>2022 – 2012,2 тыс.руб.,</w:t>
            </w:r>
          </w:p>
          <w:p>
            <w:pPr>
              <w:pStyle w:val="Normal"/>
              <w:jc w:val="both"/>
              <w:rPr/>
            </w:pPr>
            <w:r>
              <w:rPr/>
              <w:t>2023 – 2012,2 тыс.руб.,</w:t>
            </w:r>
          </w:p>
          <w:p>
            <w:pPr>
              <w:pStyle w:val="Normal"/>
              <w:jc w:val="both"/>
              <w:rPr/>
            </w:pPr>
            <w:r>
              <w:rPr/>
              <w:t>2024 – 299,7 тыс.руб.,</w:t>
            </w:r>
          </w:p>
          <w:p>
            <w:pPr>
              <w:pStyle w:val="Normal"/>
              <w:jc w:val="both"/>
              <w:rPr/>
            </w:pPr>
            <w:r>
              <w:rPr/>
              <w:t>2025 – 299,7 тыс.руб.</w:t>
            </w:r>
          </w:p>
          <w:p>
            <w:pPr>
              <w:pStyle w:val="Normal"/>
              <w:jc w:val="both"/>
              <w:rPr/>
            </w:pPr>
            <w:r>
              <w:rPr/>
              <w:t>-межбюджетные трансферты из федерального бюджета – 4865,3 тыс.руб., в том числе по годам реализации:</w:t>
            </w:r>
          </w:p>
          <w:p>
            <w:pPr>
              <w:pStyle w:val="Normal"/>
              <w:jc w:val="both"/>
              <w:rPr/>
            </w:pPr>
            <w:r>
              <w:rPr/>
              <w:t>2020 – 4697,6 тыс. руб.,</w:t>
            </w:r>
          </w:p>
          <w:p>
            <w:pPr>
              <w:pStyle w:val="Normal"/>
              <w:jc w:val="both"/>
              <w:rPr/>
            </w:pPr>
            <w:r>
              <w:rPr/>
              <w:t>2021 – 167,7 тыс. руб.,</w:t>
            </w:r>
          </w:p>
          <w:p>
            <w:pPr>
              <w:pStyle w:val="Normal"/>
              <w:jc w:val="both"/>
              <w:rPr/>
            </w:pPr>
            <w:r>
              <w:rPr/>
              <w:t>2022 – 0,0 тыс. руб.,</w:t>
            </w:r>
          </w:p>
          <w:p>
            <w:pPr>
              <w:pStyle w:val="Normal"/>
              <w:jc w:val="both"/>
              <w:rPr/>
            </w:pPr>
            <w:r>
              <w:rPr/>
              <w:t>2023 – 0,0 тыс. руб.,</w:t>
            </w:r>
          </w:p>
          <w:p>
            <w:pPr>
              <w:pStyle w:val="Normal"/>
              <w:jc w:val="both"/>
              <w:rPr/>
            </w:pPr>
            <w:r>
              <w:rPr/>
              <w:t>2024 – 0,0 тыс. руб.,</w:t>
            </w:r>
          </w:p>
          <w:p>
            <w:pPr>
              <w:pStyle w:val="Normal"/>
              <w:jc w:val="both"/>
              <w:rPr/>
            </w:pPr>
            <w:r>
              <w:rPr/>
              <w:t>2025 – 0,0 тыс. руб.</w:t>
            </w:r>
          </w:p>
          <w:p>
            <w:pPr>
              <w:pStyle w:val="Normal"/>
              <w:jc w:val="both"/>
              <w:rPr/>
            </w:pPr>
            <w:r>
              <w:rPr/>
              <w:t>-внебюджетные  средства -24596,0 тыс.руб., в том числе по годам реализации:</w:t>
            </w:r>
          </w:p>
          <w:p>
            <w:pPr>
              <w:pStyle w:val="Normal"/>
              <w:rPr/>
            </w:pPr>
            <w:r>
              <w:rPr/>
              <w:t>2020 – 3071,0 тыс. руб.,</w:t>
            </w:r>
          </w:p>
          <w:p>
            <w:pPr>
              <w:pStyle w:val="Normal"/>
              <w:jc w:val="both"/>
              <w:rPr/>
            </w:pPr>
            <w:r>
              <w:rPr/>
              <w:t>2021 -  4285,0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2022 – 4310,0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2023 – 4310,0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2024 – 4310,0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2025 – 4310,0 тыс.руб.,</w:t>
            </w:r>
          </w:p>
          <w:p>
            <w:pPr>
              <w:pStyle w:val="Normal"/>
              <w:jc w:val="both"/>
              <w:rPr/>
            </w:pPr>
            <w:r>
              <w:rPr/>
              <w:t>-безвозмездные поступления от физических и юридических лиц – 2903,8 тыс.руб., в том числе по годам реализации:</w:t>
            </w:r>
          </w:p>
          <w:p>
            <w:pPr>
              <w:pStyle w:val="Normal"/>
              <w:rPr/>
            </w:pPr>
            <w:r>
              <w:rPr/>
              <w:t>2020 – 103,8 тыс. руб.,</w:t>
            </w:r>
          </w:p>
          <w:p>
            <w:pPr>
              <w:pStyle w:val="Normal"/>
              <w:jc w:val="both"/>
              <w:rPr/>
            </w:pPr>
            <w:r>
              <w:rPr/>
              <w:t>2021 -  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2022 – 700,0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2023 – 700,0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2024 – 700,0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2025 – 700,0 тыс.руб.,</w:t>
            </w:r>
          </w:p>
          <w:p>
            <w:pPr>
              <w:pStyle w:val="Normal"/>
              <w:jc w:val="both"/>
              <w:rPr/>
            </w:pPr>
            <w:r>
              <w:rPr/>
              <w:t>-межбюджетные трансферты из бюджетов поселений – 400,0 тыс.руб., в том числе по годам реализации: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2020 – 100,0 тыс. руб.,</w:t>
            </w:r>
          </w:p>
          <w:p>
            <w:pPr>
              <w:pStyle w:val="Normal"/>
              <w:jc w:val="both"/>
              <w:rPr/>
            </w:pPr>
            <w:r>
              <w:rPr/>
              <w:t>2021 -  100,0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2022 – 100,0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2023 – 100,0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2024 –0,0 тыс.руб.,</w:t>
            </w:r>
          </w:p>
          <w:p>
            <w:pPr>
              <w:pStyle w:val="Normal"/>
              <w:jc w:val="both"/>
              <w:rPr/>
            </w:pPr>
            <w:r>
              <w:rPr/>
              <w:t>2025 –0,0 тыс.руб.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spacing w:val="2"/>
        </w:rPr>
        <w:t>1.2.</w:t>
      </w:r>
      <w:r>
        <w:rPr/>
        <w:t xml:space="preserve"> 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330783,3 тыс.руб., в том числе по годам реализации:</w:t>
      </w:r>
    </w:p>
    <w:tbl>
      <w:tblPr>
        <w:tblW w:w="1017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6"/>
        <w:gridCol w:w="1560"/>
        <w:gridCol w:w="1843"/>
        <w:gridCol w:w="1701"/>
        <w:gridCol w:w="1418"/>
        <w:gridCol w:w="1560"/>
        <w:gridCol w:w="1274"/>
      </w:tblGrid>
      <w:tr>
        <w:trPr/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год</w:t>
            </w:r>
          </w:p>
        </w:tc>
        <w:tc>
          <w:tcPr>
            <w:tcW w:w="93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финансовых средств (тыс. руб.)</w:t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федерального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48775,8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4285,0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48557,1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288088,6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4865,3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2903,8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>
      <w:pPr>
        <w:pStyle w:val="Normal"/>
        <w:ind w:firstLine="708"/>
        <w:jc w:val="both"/>
        <w:rPr/>
      </w:pPr>
      <w:r>
        <w:rPr/>
        <w:t>1.3. В разделе 5 муниципальной программы в строке 3 цифры «61349,6» заменить цифрами «61366,0», в строке 4 цифры «92280,2» заменить цифрами «92409,2», в строке 5 цифры «74431,6» заменить цифрами «75098,9» , в строке7 цифры «23951,9» заменить цифрами «23963,1»,   в строке 8 цифры «8522,0» заменить цифрами «8549,6»</w:t>
      </w:r>
    </w:p>
    <w:p>
      <w:pPr>
        <w:pStyle w:val="Normal"/>
        <w:ind w:firstLine="708"/>
        <w:jc w:val="both"/>
        <w:rPr/>
      </w:pPr>
      <w:r>
        <w:rPr/>
        <w:t>1.4. Приложение 3 к муниципальной программе изложить в новой редакции (приложение 1 к постановлению).</w:t>
      </w:r>
    </w:p>
    <w:p>
      <w:pPr>
        <w:pStyle w:val="Normal"/>
        <w:ind w:firstLine="708"/>
        <w:jc w:val="both"/>
        <w:rPr/>
      </w:pPr>
      <w:r>
        <w:rPr/>
        <w:t>1.5. Приложение 3 к подпрограмме 1 муниципальной программе изложить в новой редакции (приложение 2 к постановлению).</w:t>
      </w:r>
    </w:p>
    <w:p>
      <w:pPr>
        <w:pStyle w:val="Normal"/>
        <w:ind w:firstLine="708"/>
        <w:jc w:val="both"/>
        <w:rPr>
          <w:spacing w:val="2"/>
        </w:rPr>
      </w:pPr>
      <w:r>
        <w:rPr/>
        <w:t xml:space="preserve">1.6. </w:t>
      </w:r>
      <w:r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739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70"/>
        <w:gridCol w:w="6768"/>
      </w:tblGrid>
      <w:tr>
        <w:trPr/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Общий объем расходов: 61366,0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13972,8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9358,9тыс.руб.,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2022 – </w:t>
            </w:r>
            <w:r>
              <w:rPr>
                <w:caps/>
                <w:sz w:val="22"/>
              </w:rPr>
              <w:t xml:space="preserve">9424,2 </w:t>
            </w:r>
            <w:r>
              <w:rPr>
                <w:sz w:val="20"/>
                <w:szCs w:val="22"/>
              </w:rPr>
              <w:t>тыс</w:t>
            </w:r>
            <w:r>
              <w:rPr>
                <w:sz w:val="22"/>
                <w:szCs w:val="22"/>
              </w:rPr>
              <w:t>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 xml:space="preserve">9536,7 </w:t>
            </w:r>
            <w:r>
              <w:rPr>
                <w:sz w:val="22"/>
                <w:szCs w:val="22"/>
              </w:rPr>
              <w:t>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 xml:space="preserve">9536,7 </w:t>
            </w:r>
            <w:r>
              <w:rPr>
                <w:sz w:val="22"/>
                <w:szCs w:val="22"/>
              </w:rPr>
              <w:t>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 xml:space="preserve">9536,7 </w:t>
            </w:r>
            <w:r>
              <w:rPr>
                <w:sz w:val="22"/>
                <w:szCs w:val="22"/>
              </w:rPr>
              <w:t>тыс.руб.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 собственные доходы районного бюджета – 44141,6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6748,4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7358,9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7424,2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7536,7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7536,7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7536,7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-межбюджетные трансферты из областного бюджета -1378,5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1378,5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-межбюджетные трансферты из федерального бюджета - 4615,1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4615,1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 – 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-безвозмездные поступления от физических и юридических лиц – 0,0 тыс. руб., 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–0,0 тыс.руб.,</w:t>
            </w:r>
          </w:p>
          <w:p>
            <w:pPr>
              <w:pStyle w:val="Style49"/>
              <w:rPr/>
            </w:pPr>
            <w:r>
              <w:rPr>
                <w:sz w:val="22"/>
                <w:szCs w:val="22"/>
              </w:rPr>
              <w:t>2025 –0,0 тыс.руб.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 внебюджетные средства – 11230,8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1230,8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2000,0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2000,0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2000,0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2000,0 тыс.руб.,</w:t>
            </w:r>
          </w:p>
          <w:p>
            <w:pPr>
              <w:pStyle w:val="Style49"/>
              <w:rPr/>
            </w:pPr>
            <w:r>
              <w:rPr>
                <w:sz w:val="22"/>
                <w:szCs w:val="22"/>
              </w:rPr>
              <w:t>2025 – 2000,0 тыс.руб.,</w:t>
            </w:r>
          </w:p>
          <w:p>
            <w:pPr>
              <w:pStyle w:val="Style49"/>
              <w:rPr/>
            </w:pPr>
            <w:r>
              <w:rPr>
                <w:sz w:val="22"/>
                <w:szCs w:val="22"/>
              </w:rPr>
              <w:t>-межбюджетные трансферты из бюджета поселений - 0,0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 – 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–0,0 тыс.руб.,</w:t>
            </w:r>
          </w:p>
          <w:p>
            <w:pPr>
              <w:pStyle w:val="Style49"/>
              <w:spacing w:lineRule="auto" w:line="276"/>
              <w:rPr>
                <w:rStyle w:val="Style17"/>
                <w:i w:val="false"/>
                <w:i w:val="false"/>
                <w:iCs w:val="false"/>
              </w:rPr>
            </w:pPr>
            <w:r>
              <w:rPr>
                <w:sz w:val="22"/>
                <w:szCs w:val="22"/>
              </w:rPr>
              <w:t>2025 –0,0 тыс.руб.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ind w:firstLine="708"/>
        <w:jc w:val="both"/>
        <w:rPr/>
      </w:pPr>
      <w:r>
        <w:rPr/>
        <w:t>1.7. Раздел 4 подпрограммы 2</w:t>
      </w:r>
      <w:r>
        <w:rPr>
          <w:spacing w:val="2"/>
        </w:rPr>
        <w:t xml:space="preserve"> муниципальной</w:t>
      </w:r>
      <w:r>
        <w:rPr/>
        <w:t xml:space="preserve"> программы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>
      <w:pPr>
        <w:pStyle w:val="Normal"/>
        <w:ind w:firstLine="708"/>
        <w:rPr/>
      </w:pPr>
      <w:r>
        <w:rPr/>
        <w:t>«Общий объем финансирования – 61366,0 тыс.руб., в том числе по годам:</w:t>
      </w:r>
    </w:p>
    <w:tbl>
      <w:tblPr>
        <w:tblW w:w="1020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2"/>
        <w:gridCol w:w="1558"/>
        <w:gridCol w:w="1701"/>
        <w:gridCol w:w="1702"/>
        <w:gridCol w:w="1417"/>
        <w:gridCol w:w="1560"/>
        <w:gridCol w:w="1415"/>
      </w:tblGrid>
      <w:tr>
        <w:trPr/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>
        <w:trPr/>
        <w:tc>
          <w:tcPr>
            <w:tcW w:w="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федерального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7358,9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44141,6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11230,8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Сведения о расходах финансового обеспечения на реализацию подпрограммы 2 муниципальной программы представлены в приложении 3 к подпрограмме 2 муниципальной программы».</w:t>
      </w:r>
    </w:p>
    <w:p>
      <w:pPr>
        <w:pStyle w:val="Normal"/>
        <w:ind w:firstLine="708"/>
        <w:jc w:val="both"/>
        <w:rPr/>
      </w:pPr>
      <w:r>
        <w:rPr/>
        <w:t>1.8. Приложение 3 к подпрограмме 2 муниципальной программы изложить в новой редакции (приложение 3 к постановлению).</w:t>
      </w:r>
    </w:p>
    <w:p>
      <w:pPr>
        <w:pStyle w:val="Normal"/>
        <w:ind w:firstLine="708"/>
        <w:jc w:val="both"/>
        <w:rPr/>
      </w:pPr>
      <w:r>
        <w:rPr/>
        <w:t>1.9. Приложение 6 к подпрограмме 2 муниципальной программы изложить в новой редакции (приложение  4 к постановлению).</w:t>
      </w:r>
    </w:p>
    <w:p>
      <w:pPr>
        <w:pStyle w:val="Normal"/>
        <w:ind w:firstLine="708"/>
        <w:jc w:val="both"/>
        <w:rPr>
          <w:spacing w:val="2"/>
        </w:rPr>
      </w:pPr>
      <w:r>
        <w:rPr/>
        <w:t xml:space="preserve">1.10. </w:t>
      </w:r>
      <w:r>
        <w:rPr>
          <w:spacing w:val="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915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3"/>
        <w:gridCol w:w="6661"/>
      </w:tblGrid>
      <w:tr>
        <w:trPr>
          <w:trHeight w:val="1117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Объем финансового обеспечения подпрограммы  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Общий объем расходов: 92409,2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14973,6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15755,1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16121,8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16327,9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14615,4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14615,4 тыс.руб.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 собственные доходы районного бюджета – 85356,7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13058,6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14042,6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14409,3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14615,4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14615,4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14615,4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-межбюджетные трансферты из областного бюджета -7002,5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1865,0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1712,5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1712,5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1712,5тыс.руб.,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-межбюджетные трансферты из федерального бюджета -50,0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50,0 тыс.руб.;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-безвозмездные поступления от физических и юридических лиц –0,0 тыс. руб.;</w:t>
            </w:r>
          </w:p>
          <w:p>
            <w:pPr>
              <w:pStyle w:val="Style49"/>
              <w:rPr/>
            </w:pPr>
            <w:r>
              <w:rPr>
                <w:sz w:val="22"/>
                <w:szCs w:val="22"/>
              </w:rPr>
              <w:t>- внебюджетные средства – 0,0 тыс.руб.</w:t>
            </w:r>
          </w:p>
        </w:tc>
      </w:tr>
    </w:tbl>
    <w:p>
      <w:pPr>
        <w:pStyle w:val="Normal"/>
        <w:ind w:firstLine="708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ind w:firstLine="708"/>
        <w:jc w:val="both"/>
        <w:rPr/>
      </w:pPr>
      <w:r>
        <w:rPr/>
        <w:t>1.11. Раздел 4 подпрограммы 3</w:t>
      </w:r>
      <w:r>
        <w:rPr>
          <w:spacing w:val="2"/>
        </w:rPr>
        <w:t xml:space="preserve"> муниципальной</w:t>
      </w:r>
      <w:r>
        <w:rPr/>
        <w:t xml:space="preserve"> программы изложить в следующей редакции: «Раздел 4. Финансовое обеспечение реализации основных мероприятий подпрограммы 3 муниципальной программы </w:t>
      </w:r>
    </w:p>
    <w:p>
      <w:pPr>
        <w:pStyle w:val="Normal"/>
        <w:ind w:firstLine="708"/>
        <w:jc w:val="both"/>
        <w:rPr/>
      </w:pPr>
      <w:r>
        <w:rPr/>
        <w:t>Общий объем финансирования – 92409,2тыс.руб., в том числе по годам:</w:t>
      </w:r>
    </w:p>
    <w:tbl>
      <w:tblPr>
        <w:tblW w:w="104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86"/>
        <w:gridCol w:w="1448"/>
        <w:gridCol w:w="1669"/>
        <w:gridCol w:w="1704"/>
        <w:gridCol w:w="1543"/>
        <w:gridCol w:w="1651"/>
        <w:gridCol w:w="1619"/>
      </w:tblGrid>
      <w:tr>
        <w:trPr/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>
        <w:trPr/>
        <w:tc>
          <w:tcPr>
            <w:tcW w:w="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>
        <w:trPr/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14042,6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14409,3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85356,7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Сведения о расходах финансового обеспечения на реализацию подпрограммы 3 муниципальной программы представлены в приложении № 3 к подпрограмме 3 муниципальной программы».</w:t>
      </w:r>
    </w:p>
    <w:p>
      <w:pPr>
        <w:pStyle w:val="Normal"/>
        <w:ind w:firstLine="708"/>
        <w:jc w:val="both"/>
        <w:rPr/>
      </w:pPr>
      <w:r>
        <w:rPr/>
        <w:t>1.12. Приложение 3 к подпрограмме 3 муниципальной программы изложить в новой редакции (приложение 5 к постановлению).</w:t>
      </w:r>
    </w:p>
    <w:p>
      <w:pPr>
        <w:pStyle w:val="Normal"/>
        <w:ind w:firstLine="708"/>
        <w:jc w:val="both"/>
        <w:rPr>
          <w:spacing w:val="2"/>
        </w:rPr>
      </w:pPr>
      <w:r>
        <w:rPr/>
        <w:t xml:space="preserve">1.13. </w:t>
      </w:r>
      <w:r>
        <w:rPr>
          <w:spacing w:val="2"/>
        </w:rPr>
        <w:t xml:space="preserve">Строку «Объем финансового обеспечения подпрограммы» таблицы паспорта подпрограммы 4 муниципальной программы изложить в новой редакции: </w:t>
      </w:r>
    </w:p>
    <w:p>
      <w:pPr>
        <w:pStyle w:val="Style49"/>
        <w:ind w:firstLine="708"/>
        <w:jc w:val="both"/>
        <w:rPr/>
      </w:pPr>
      <w:r>
        <w:rPr/>
        <w:t xml:space="preserve"> </w:t>
      </w:r>
    </w:p>
    <w:tbl>
      <w:tblPr>
        <w:tblW w:w="10137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1"/>
        <w:gridCol w:w="6945"/>
      </w:tblGrid>
      <w:tr>
        <w:trPr/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Объем финансового обеспечения подпрограммы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Общий объем расходов: 75098,9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11660,1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12974,8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12494,5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12656,5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12656,5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12656,5 тыс.руб.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 собственные доходы районного бюджета – 66352,4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10388,6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11499,8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10994,5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11156,5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11156,5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11156,5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-межбюджетные трансферты из областного бюджета -0,0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-межбюджетные трансферты из федерального бюджета -0,00 тыс.руб., 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 внебюджетные средства – 8746,5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1271,5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1475,0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1500,0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1500,0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1500,0 тыс.руб.,</w:t>
            </w:r>
          </w:p>
          <w:p>
            <w:pPr>
              <w:pStyle w:val="Style49"/>
              <w:widowControl/>
              <w:tabs>
                <w:tab w:val="left" w:pos="917" w:leader="none"/>
              </w:tabs>
              <w:rPr/>
            </w:pPr>
            <w:r>
              <w:rPr>
                <w:sz w:val="22"/>
                <w:szCs w:val="22"/>
              </w:rPr>
              <w:t>2025 – 1500,0 тыс.руб.</w:t>
            </w:r>
          </w:p>
        </w:tc>
      </w:tr>
    </w:tbl>
    <w:p>
      <w:pPr>
        <w:pStyle w:val="Style49"/>
        <w:ind w:firstLine="708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1.14. Раздел 4 подпрограммы 4</w:t>
      </w:r>
      <w:r>
        <w:rPr>
          <w:spacing w:val="2"/>
        </w:rPr>
        <w:t xml:space="preserve"> муниципальной</w:t>
      </w:r>
      <w:r>
        <w:rPr/>
        <w:t xml:space="preserve"> программы изложить в следующей редакции: «Раздел 4. Финансовое  обеспечение реализации основных мероприятий подпрограммы 4 муниципальной программы</w:t>
      </w:r>
    </w:p>
    <w:p>
      <w:pPr>
        <w:pStyle w:val="Normal"/>
        <w:ind w:firstLine="709"/>
        <w:jc w:val="both"/>
        <w:rPr/>
      </w:pPr>
      <w:r>
        <w:rPr/>
        <w:t>Общий объем финансирования  – 75098,9 тыс.руб., в том числе по годам:</w:t>
        <w:tab/>
      </w:r>
    </w:p>
    <w:tbl>
      <w:tblPr>
        <w:tblW w:w="1031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7"/>
        <w:gridCol w:w="1393"/>
        <w:gridCol w:w="1624"/>
        <w:gridCol w:w="1681"/>
        <w:gridCol w:w="1547"/>
        <w:gridCol w:w="1653"/>
        <w:gridCol w:w="1618"/>
      </w:tblGrid>
      <w:tr>
        <w:trPr/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>
        <w:trPr/>
        <w:tc>
          <w:tcPr>
            <w:tcW w:w="7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1271,5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11499,8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1475,0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10994,5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1500,00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66352,4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8746,50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>
      <w:pPr>
        <w:pStyle w:val="Normal"/>
        <w:ind w:firstLine="709"/>
        <w:jc w:val="both"/>
        <w:rPr/>
      </w:pPr>
      <w:r>
        <w:rPr/>
        <w:t>Сведения о расходах финансового обеспечения на реализацию подпрограммы представлены в приложении № 3 к подпрограмме».</w:t>
      </w:r>
    </w:p>
    <w:p>
      <w:pPr>
        <w:pStyle w:val="Normal"/>
        <w:ind w:firstLine="708"/>
        <w:jc w:val="both"/>
        <w:rPr/>
      </w:pPr>
      <w:r>
        <w:rPr/>
        <w:t>1.15. Приложение 3 к подпрограмме 4 муниципальной программы изложить в новой редакции (приложение 6 к постановлению).</w:t>
      </w:r>
    </w:p>
    <w:p>
      <w:pPr>
        <w:pStyle w:val="Normal"/>
        <w:ind w:firstLine="708"/>
        <w:jc w:val="both"/>
        <w:rPr/>
      </w:pPr>
      <w:r>
        <w:rPr/>
        <w:t>1.16. Приложение 6 к подпрограмме 4 муниципальной программы изложить в новой редакции (приложение 7 к постановлению).</w:t>
      </w:r>
    </w:p>
    <w:p>
      <w:pPr>
        <w:pStyle w:val="Normal"/>
        <w:ind w:firstLine="708"/>
        <w:jc w:val="both"/>
        <w:rPr>
          <w:spacing w:val="2"/>
        </w:rPr>
      </w:pPr>
      <w:r>
        <w:rPr/>
        <w:t xml:space="preserve">1.17. </w:t>
      </w:r>
      <w:r>
        <w:rPr>
          <w:spacing w:val="2"/>
        </w:rPr>
        <w:t xml:space="preserve">Строку «Объем финансового обеспечения подпрограммы» таблицы паспорта подпрограммы 6 муниципальной программы изложить в новой редакции: </w:t>
      </w:r>
    </w:p>
    <w:tbl>
      <w:tblPr>
        <w:tblW w:w="104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6911"/>
      </w:tblGrid>
      <w:tr>
        <w:trPr/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Общий объем расходов: 23963,1 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3678,9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4065,8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4054,6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4054,6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4054,6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4054,6 тыс.руб.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 собственные доходы районного бюджета – 23930,6тыс.руб.,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3646,4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4065,8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4054,6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4054,6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4054,6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4054,6 тыс.руб.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-межбюджетные трансферты из областного бюджета -0,0тыс.руб., 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-межбюджетные трансферты из федерального бюджета -32,5 тыс.руб., 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2020 – 32,5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0,0 тыс.руб.,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0,0 тыс.руб.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>
            <w:pPr>
              <w:pStyle w:val="Style49"/>
              <w:rPr/>
            </w:pPr>
            <w:r>
              <w:rPr>
                <w:sz w:val="22"/>
                <w:szCs w:val="22"/>
              </w:rPr>
              <w:t>- внебюджетные средства – 0,0 тыс.руб.</w:t>
            </w:r>
          </w:p>
        </w:tc>
      </w:tr>
    </w:tbl>
    <w:p>
      <w:pPr>
        <w:pStyle w:val="Normal"/>
        <w:ind w:firstLine="708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ind w:firstLine="709"/>
        <w:jc w:val="both"/>
        <w:rPr/>
      </w:pPr>
      <w:r>
        <w:rPr/>
        <w:t>1.18. Раздел 4 подпрограммы 6</w:t>
      </w:r>
      <w:r>
        <w:rPr>
          <w:spacing w:val="2"/>
        </w:rPr>
        <w:t xml:space="preserve"> муниципальной</w:t>
      </w:r>
      <w:r>
        <w:rPr/>
        <w:t xml:space="preserve"> программы изложить в следующей редакции: «Раздел 4. Финансовое  обеспечение реализации основных мероприятий подпрограммы 4 муниципальной программы</w:t>
      </w:r>
    </w:p>
    <w:p>
      <w:pPr>
        <w:pStyle w:val="Normal"/>
        <w:ind w:firstLine="709"/>
        <w:jc w:val="both"/>
        <w:rPr/>
      </w:pPr>
      <w:r>
        <w:rPr/>
        <w:t>Общий объем финансирования  – 23963,1 тыс.руб., в том числе по годам:</w:t>
        <w:tab/>
      </w:r>
    </w:p>
    <w:tbl>
      <w:tblPr>
        <w:tblW w:w="1031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7"/>
        <w:gridCol w:w="1393"/>
        <w:gridCol w:w="1624"/>
        <w:gridCol w:w="1681"/>
        <w:gridCol w:w="1547"/>
        <w:gridCol w:w="1653"/>
        <w:gridCol w:w="1618"/>
      </w:tblGrid>
      <w:tr>
        <w:trPr/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>
        <w:trPr/>
        <w:tc>
          <w:tcPr>
            <w:tcW w:w="7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4065,8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4054,6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4054,6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4054,6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4054,6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23930,6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>
      <w:pPr>
        <w:pStyle w:val="Normal"/>
        <w:ind w:firstLine="709"/>
        <w:jc w:val="both"/>
        <w:rPr/>
      </w:pPr>
      <w:r>
        <w:rPr/>
        <w:t>Сведения о расходах финансового обеспечения на реализацию подпрограммы представлены в приложении № 3 к подпрограмме».</w:t>
      </w:r>
    </w:p>
    <w:p>
      <w:pPr>
        <w:pStyle w:val="Normal"/>
        <w:ind w:firstLine="708"/>
        <w:jc w:val="both"/>
        <w:rPr/>
      </w:pPr>
      <w:r>
        <w:rPr/>
        <w:t>1.19. Приложение 3 к подпрограмме 6 муниципальной программы изложить в новой редакции (приложение 8 к постановлению).</w:t>
      </w:r>
    </w:p>
    <w:p>
      <w:pPr>
        <w:pStyle w:val="Normal"/>
        <w:ind w:firstLine="708"/>
        <w:jc w:val="both"/>
        <w:rPr/>
      </w:pPr>
      <w:r>
        <w:rPr/>
        <w:t xml:space="preserve">1.20. Подпрограмму 7 «Развитие архивного дела в Никольском муниципальном районе»  муниципальной программы изложить в новой редакции (приложение  9 к постановлению) </w:t>
      </w:r>
    </w:p>
    <w:p>
      <w:pPr>
        <w:pStyle w:val="Style20"/>
        <w:ind w:firstLine="708"/>
        <w:jc w:val="both"/>
        <w:rPr>
          <w:b w:val="false"/>
          <w:b w:val="false"/>
          <w:bCs w:val="false"/>
          <w:color w:val="000000"/>
          <w:spacing w:val="0"/>
          <w:sz w:val="24"/>
        </w:rPr>
      </w:pPr>
      <w:r>
        <w:rPr>
          <w:b w:val="false"/>
          <w:spacing w:val="2"/>
          <w:sz w:val="24"/>
        </w:rPr>
        <w:t xml:space="preserve">2. </w:t>
      </w:r>
      <w:r>
        <w:rPr>
          <w:b w:val="false"/>
          <w:bCs w:val="false"/>
          <w:color w:val="000000"/>
          <w:spacing w:val="0"/>
          <w:sz w:val="24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– телекоммуникационной сети «Интернет».</w:t>
      </w:r>
    </w:p>
    <w:p>
      <w:pPr>
        <w:pStyle w:val="Style20"/>
        <w:ind w:firstLine="709"/>
        <w:jc w:val="both"/>
        <w:rPr>
          <w:b w:val="false"/>
          <w:b w:val="false"/>
          <w:bCs w:val="false"/>
          <w:color w:val="000000"/>
          <w:spacing w:val="0"/>
          <w:sz w:val="24"/>
        </w:rPr>
      </w:pPr>
      <w:r>
        <w:rPr>
          <w:b w:val="false"/>
          <w:bCs w:val="false"/>
          <w:color w:val="000000"/>
          <w:spacing w:val="0"/>
          <w:sz w:val="24"/>
        </w:rPr>
      </w:r>
    </w:p>
    <w:p>
      <w:pPr>
        <w:pStyle w:val="Style20"/>
        <w:ind w:firstLine="709"/>
        <w:jc w:val="both"/>
        <w:rPr>
          <w:b w:val="false"/>
          <w:b w:val="false"/>
          <w:bCs w:val="false"/>
          <w:color w:val="000000"/>
          <w:spacing w:val="0"/>
          <w:sz w:val="24"/>
        </w:rPr>
      </w:pPr>
      <w:r>
        <w:rPr>
          <w:b w:val="false"/>
          <w:bCs w:val="false"/>
          <w:color w:val="000000"/>
          <w:spacing w:val="0"/>
          <w:sz w:val="24"/>
        </w:rPr>
      </w:r>
    </w:p>
    <w:p>
      <w:pPr>
        <w:pStyle w:val="Style20"/>
        <w:ind w:firstLine="709"/>
        <w:jc w:val="both"/>
        <w:rPr>
          <w:b w:val="false"/>
          <w:b w:val="false"/>
          <w:bCs w:val="false"/>
          <w:color w:val="000000"/>
          <w:spacing w:val="0"/>
          <w:sz w:val="24"/>
        </w:rPr>
      </w:pPr>
      <w:r>
        <w:rPr>
          <w:b w:val="false"/>
          <w:bCs w:val="false"/>
          <w:color w:val="000000"/>
          <w:spacing w:val="0"/>
          <w:sz w:val="24"/>
        </w:rPr>
      </w:r>
    </w:p>
    <w:p>
      <w:pPr>
        <w:pStyle w:val="Style20"/>
        <w:jc w:val="left"/>
        <w:rPr>
          <w:b w:val="false"/>
          <w:b w:val="false"/>
          <w:bCs w:val="false"/>
          <w:color w:val="000000"/>
          <w:spacing w:val="0"/>
          <w:sz w:val="24"/>
        </w:rPr>
      </w:pPr>
      <w:r>
        <w:rPr>
          <w:b w:val="false"/>
          <w:bCs w:val="false"/>
          <w:color w:val="000000"/>
          <w:spacing w:val="0"/>
          <w:sz w:val="24"/>
        </w:rPr>
        <w:t xml:space="preserve">Руководитель администрации 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yle20"/>
        <w:jc w:val="both"/>
        <w:rPr/>
      </w:pPr>
      <w:r>
        <w:rPr>
          <w:b w:val="false"/>
          <w:bCs w:val="false"/>
          <w:color w:val="000000"/>
          <w:spacing w:val="0"/>
          <w:sz w:val="24"/>
        </w:rPr>
        <w:t>Никольского муниципального района                                                                                А.Н. Баданина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1  к постановлению</w:t>
      </w:r>
    </w:p>
    <w:p>
      <w:pPr>
        <w:pStyle w:val="Normal"/>
        <w:jc w:val="right"/>
        <w:rPr/>
      </w:pPr>
      <w:r>
        <w:rPr/>
        <w:t xml:space="preserve">администрации </w:t>
      </w:r>
      <w:r>
        <w:rPr/>
        <w:t xml:space="preserve">Никольского </w:t>
      </w:r>
    </w:p>
    <w:p>
      <w:pPr>
        <w:pStyle w:val="Normal"/>
        <w:jc w:val="right"/>
        <w:rPr/>
      </w:pPr>
      <w:r>
        <w:rPr/>
        <w:t>муниципального района</w:t>
      </w:r>
    </w:p>
    <w:p>
      <w:pPr>
        <w:pStyle w:val="Normal"/>
        <w:jc w:val="right"/>
        <w:rPr/>
      </w:pPr>
      <w:r>
        <w:rPr/>
        <w:t>от 29.04.2021 года № 335</w:t>
      </w:r>
    </w:p>
    <w:p>
      <w:pPr>
        <w:pStyle w:val="Normal"/>
        <w:jc w:val="right"/>
        <w:rPr/>
      </w:pPr>
      <w:r>
        <w:rPr/>
        <w:t xml:space="preserve">Приложение 3 </w:t>
      </w:r>
    </w:p>
    <w:p>
      <w:pPr>
        <w:pStyle w:val="Normal"/>
        <w:jc w:val="right"/>
        <w:rPr/>
      </w:pPr>
      <w:r>
        <w:rPr/>
        <w:t>к муниципальной программе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ФИНАНСОВОЕ ОБЕСПЕЧЕНИЕ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реализации муниципальной программы </w:t>
      </w:r>
    </w:p>
    <w:p>
      <w:pPr>
        <w:pStyle w:val="Normal"/>
        <w:rPr/>
      </w:pPr>
      <w:r>
        <w:rPr/>
      </w:r>
    </w:p>
    <w:tbl>
      <w:tblPr>
        <w:tblW w:w="16126" w:type="dxa"/>
        <w:jc w:val="left"/>
        <w:tblInd w:w="-7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2"/>
        <w:gridCol w:w="3264"/>
        <w:gridCol w:w="1421"/>
        <w:gridCol w:w="1417"/>
        <w:gridCol w:w="1560"/>
        <w:gridCol w:w="1559"/>
        <w:gridCol w:w="1702"/>
        <w:gridCol w:w="1559"/>
        <w:gridCol w:w="1840"/>
      </w:tblGrid>
      <w:tr>
        <w:trPr/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</w:t>
            </w:r>
          </w:p>
        </w:tc>
      </w:tr>
      <w:tr>
        <w:trPr/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397" w:hRule="exac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54395,3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55390,8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55679,3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56314,3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330783,3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43179,4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48775,8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48557,1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288088,6</w:t>
            </w:r>
          </w:p>
        </w:tc>
      </w:tr>
      <w:tr>
        <w:trPr>
          <w:trHeight w:val="477" w:hRule="exac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2062,3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9929,6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167,7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4865,3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2903,8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4285,0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24596,0</w:t>
            </w:r>
          </w:p>
        </w:tc>
      </w:tr>
      <w:tr>
        <w:trPr>
          <w:trHeight w:val="510" w:hRule="exac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</w:tr>
      <w:tr>
        <w:trPr>
          <w:trHeight w:val="276" w:hRule="atLeas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1155,9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6857,5</w:t>
            </w:r>
          </w:p>
        </w:tc>
      </w:tr>
      <w:tr>
        <w:trPr>
          <w:trHeight w:val="276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1155,9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6825,0</w:t>
            </w:r>
          </w:p>
        </w:tc>
      </w:tr>
      <w:tr>
        <w:trPr>
          <w:trHeight w:val="276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>
        <w:trPr>
          <w:trHeight w:val="276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1 МБУК «ИМЦКиТ»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6922,6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7652,6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8318,7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8419,2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47951,5</w:t>
            </w:r>
          </w:p>
        </w:tc>
      </w:tr>
      <w:tr>
        <w:trPr>
          <w:trHeight w:val="222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40462,3</w:t>
            </w:r>
          </w:p>
        </w:tc>
      </w:tr>
      <w:tr>
        <w:trPr>
          <w:trHeight w:val="222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50,1</w:t>
            </w:r>
          </w:p>
        </w:tc>
      </w:tr>
      <w:tr>
        <w:trPr>
          <w:trHeight w:val="222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167,7</w:t>
            </w:r>
          </w:p>
        </w:tc>
      </w:tr>
      <w:tr>
        <w:trPr>
          <w:trHeight w:val="222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2903,8</w:t>
            </w:r>
          </w:p>
        </w:tc>
      </w:tr>
      <w:tr>
        <w:trPr>
          <w:trHeight w:val="222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3967,6</w:t>
            </w:r>
          </w:p>
        </w:tc>
      </w:tr>
      <w:tr>
        <w:trPr>
          <w:trHeight w:val="222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>
        <w:trPr>
          <w:trHeight w:val="111" w:hRule="atLeas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13972,8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9358,9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9424,2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61366,0</w:t>
            </w:r>
          </w:p>
        </w:tc>
      </w:tr>
      <w:tr>
        <w:trPr>
          <w:trHeight w:val="111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7358,9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44141,6</w:t>
            </w:r>
          </w:p>
        </w:tc>
      </w:tr>
      <w:tr>
        <w:trPr>
          <w:trHeight w:val="111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1378,5</w:t>
            </w:r>
          </w:p>
        </w:tc>
      </w:tr>
      <w:tr>
        <w:trPr>
          <w:trHeight w:val="111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4615,1</w:t>
            </w:r>
          </w:p>
        </w:tc>
      </w:tr>
      <w:tr>
        <w:trPr>
          <w:trHeight w:val="111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111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11230,8</w:t>
            </w:r>
          </w:p>
        </w:tc>
      </w:tr>
      <w:tr>
        <w:trPr>
          <w:trHeight w:val="111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15755,1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16327,9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92409,2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14042,6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14409,3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85356,7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7002,5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12974,8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12494,5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75098,9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10994,5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66352,4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8746,5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5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3851,6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3561,1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21445,0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20793,9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651,1</w:t>
            </w:r>
          </w:p>
        </w:tc>
      </w:tr>
      <w:tr>
        <w:trPr>
          <w:trHeight w:val="165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6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МКУ «ЦОБУ»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17105,6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17105,6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8549,6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7051,1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1498,5</w:t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1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bookmarkStart w:id="0" w:name="Par747"/>
      <w:bookmarkStart w:id="1" w:name="Par747"/>
      <w:bookmarkEnd w:id="1"/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2 к постановлению</w:t>
      </w:r>
    </w:p>
    <w:p>
      <w:pPr>
        <w:pStyle w:val="Normal"/>
        <w:jc w:val="right"/>
        <w:rPr/>
      </w:pPr>
      <w:r>
        <w:rPr/>
        <w:t>администрации Никольского</w:t>
      </w:r>
    </w:p>
    <w:p>
      <w:pPr>
        <w:pStyle w:val="Normal"/>
        <w:jc w:val="right"/>
        <w:rPr/>
      </w:pPr>
      <w:r>
        <w:rPr/>
        <w:t xml:space="preserve"> </w:t>
      </w:r>
      <w:r>
        <w:rPr/>
        <w:t>муниципального района</w:t>
      </w:r>
    </w:p>
    <w:p>
      <w:pPr>
        <w:pStyle w:val="Normal"/>
        <w:jc w:val="right"/>
        <w:rPr/>
      </w:pPr>
      <w:r>
        <w:rPr/>
        <w:t>от 29.04.2021 года № 335</w:t>
      </w:r>
    </w:p>
    <w:p>
      <w:pPr>
        <w:pStyle w:val="Normal"/>
        <w:widowControl w:val="false"/>
        <w:jc w:val="right"/>
        <w:rPr/>
      </w:pPr>
      <w:r>
        <w:rPr/>
        <w:t xml:space="preserve">Приложение 3  </w:t>
      </w:r>
    </w:p>
    <w:p>
      <w:pPr>
        <w:pStyle w:val="Normal"/>
        <w:widowControl w:val="false"/>
        <w:jc w:val="right"/>
        <w:rPr/>
      </w:pPr>
      <w:r>
        <w:rPr/>
        <w:t>к подпрограмме 1 муниципальной программы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ФИНАНСОВОЕ ОБЕСПЕЧЕНИЕ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подпрограммы 1 муниципальной программы 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tbl>
      <w:tblPr>
        <w:tblW w:w="15876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4"/>
        <w:gridCol w:w="1843"/>
        <w:gridCol w:w="850"/>
        <w:gridCol w:w="1843"/>
        <w:gridCol w:w="2268"/>
        <w:gridCol w:w="850"/>
        <w:gridCol w:w="994"/>
        <w:gridCol w:w="992"/>
        <w:gridCol w:w="992"/>
        <w:gridCol w:w="992"/>
        <w:gridCol w:w="994"/>
        <w:gridCol w:w="1273"/>
      </w:tblGrid>
      <w:tr>
        <w:trPr>
          <w:trHeight w:val="327" w:hRule="atLeast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bookmarkStart w:id="2" w:name="Par748"/>
            <w:bookmarkEnd w:id="2"/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    </w:t>
              <w:br/>
              <w:t>ведомственной целевой</w:t>
              <w:br/>
              <w:t xml:space="preserve">программы, основного </w:t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исполнитель,   </w:t>
              <w:br/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>
        <w:trPr>
          <w:trHeight w:val="227" w:hRule="exact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МБУК «ИМЦКиТ»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7652,6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8318,7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8419,2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47951,5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6818,7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40462,3</w:t>
            </w:r>
          </w:p>
        </w:tc>
      </w:tr>
      <w:tr>
        <w:trPr>
          <w:trHeight w:val="45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50,1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167,7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2903,8</w:t>
            </w:r>
          </w:p>
        </w:tc>
      </w:tr>
      <w:tr>
        <w:trPr>
          <w:trHeight w:val="406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3967,6</w:t>
            </w:r>
          </w:p>
        </w:tc>
      </w:tr>
      <w:tr>
        <w:trPr>
          <w:trHeight w:val="993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400,0</w:t>
            </w:r>
          </w:p>
        </w:tc>
      </w:tr>
      <w:tr>
        <w:trPr>
          <w:trHeight w:val="229" w:hRule="exact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1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«ИМЦКиТ»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средняя численность работников, выполнявших работы по договорам гражданско-правового характера в сфере туризма, объем услуг гостиниц и аналогичных средств размещения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16207,3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11351,4</w:t>
            </w:r>
          </w:p>
        </w:tc>
      </w:tr>
      <w:tr>
        <w:trPr>
          <w:trHeight w:val="631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</w:tr>
      <w:tr>
        <w:trPr>
          <w:trHeight w:val="440" w:hRule="atLeas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2903,8</w:t>
            </w:r>
          </w:p>
        </w:tc>
      </w:tr>
      <w:tr>
        <w:trPr>
          <w:trHeight w:val="79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1502,0</w:t>
            </w:r>
          </w:p>
        </w:tc>
      </w:tr>
      <w:tr>
        <w:trPr>
          <w:trHeight w:val="794" w:hRule="exac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«ИМЦКиТ»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средняя численность работников, выполнявших работы по договорам гражданско-правового характера в сфере туризма, объем услуг гостиниц и аналогичных средств размещения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16157,2</w:t>
            </w:r>
          </w:p>
        </w:tc>
      </w:tr>
      <w:tr>
        <w:trPr>
          <w:trHeight w:val="430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11351,4</w:t>
            </w:r>
          </w:p>
        </w:tc>
      </w:tr>
      <w:tr>
        <w:trPr>
          <w:trHeight w:val="705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99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53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2903,8</w:t>
            </w:r>
          </w:p>
        </w:tc>
      </w:tr>
      <w:tr>
        <w:trPr>
          <w:trHeight w:val="292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1502,0</w:t>
            </w:r>
          </w:p>
        </w:tc>
      </w:tr>
      <w:tr>
        <w:trPr>
          <w:trHeight w:val="86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21" w:hRule="exact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1.2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проекта «Местный дом культуры»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«ИМЦКиТ»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 техническое обеспечение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</w:tr>
      <w:tr>
        <w:trPr>
          <w:trHeight w:val="425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9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>
        <w:trPr>
          <w:trHeight w:val="79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9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9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71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87" w:hRule="exact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«ИМЦКиТ»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31744,2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29110,9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167,7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19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2465,6</w:t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43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4" w:hRule="exact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«ИМЦКиТ»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31574,3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5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4774,9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29108,7</w:t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27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2465,6</w:t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34" w:hRule="exact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проекта «Местный дом культуры»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«ИМЦКиТ»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Материально- техническое обеспечание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169,9</w:t>
            </w:r>
          </w:p>
        </w:tc>
      </w:tr>
      <w:tr>
        <w:trPr>
          <w:trHeight w:val="549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>
        <w:trPr>
          <w:trHeight w:val="335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>
        <w:trPr>
          <w:trHeight w:val="624" w:hRule="exac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jc w:val="right"/>
        <w:textAlignment w:val="top"/>
        <w:rPr/>
      </w:pPr>
      <w:r>
        <w:rPr/>
        <w:t xml:space="preserve">Приложение 3 к постановлению </w:t>
      </w:r>
    </w:p>
    <w:p>
      <w:pPr>
        <w:pStyle w:val="Normal"/>
        <w:ind w:left="142" w:hanging="0"/>
        <w:jc w:val="right"/>
        <w:textAlignment w:val="top"/>
        <w:rPr/>
      </w:pPr>
      <w:r>
        <w:rPr/>
        <w:t xml:space="preserve">администрации Никольского </w:t>
      </w:r>
    </w:p>
    <w:p>
      <w:pPr>
        <w:pStyle w:val="Normal"/>
        <w:ind w:left="142" w:hanging="0"/>
        <w:jc w:val="right"/>
        <w:textAlignment w:val="top"/>
        <w:rPr/>
      </w:pPr>
      <w:r>
        <w:rPr/>
        <w:t xml:space="preserve">муниципального района </w:t>
      </w:r>
    </w:p>
    <w:p>
      <w:pPr>
        <w:pStyle w:val="Normal"/>
        <w:ind w:left="142" w:hanging="0"/>
        <w:jc w:val="right"/>
        <w:textAlignment w:val="top"/>
        <w:rPr/>
      </w:pPr>
      <w:r>
        <w:rPr/>
        <w:t>от 29.04.2021 года № 335</w:t>
      </w:r>
    </w:p>
    <w:p>
      <w:pPr>
        <w:pStyle w:val="Normal"/>
        <w:ind w:left="142" w:hanging="0"/>
        <w:jc w:val="right"/>
        <w:textAlignment w:val="top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>Приложение 3</w:t>
      </w:r>
    </w:p>
    <w:p>
      <w:pPr>
        <w:pStyle w:val="Normal"/>
        <w:jc w:val="right"/>
        <w:rPr/>
      </w:pPr>
      <w:r>
        <w:rPr/>
        <w:t>к подпрограмме 2 муниципальной программы</w:t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 xml:space="preserve">Финансовое обеспечение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подпрограммы </w:t>
      </w:r>
      <w:r>
        <w:rPr>
          <w:b/>
          <w:i/>
        </w:rPr>
        <w:t>2</w:t>
      </w:r>
      <w:r>
        <w:rPr>
          <w:b/>
        </w:rPr>
        <w:t xml:space="preserve"> муниципальной программы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4a0"/>
      </w:tblPr>
      <w:tblGrid>
        <w:gridCol w:w="1919"/>
        <w:gridCol w:w="1429"/>
        <w:gridCol w:w="1032"/>
        <w:gridCol w:w="1635"/>
        <w:gridCol w:w="2464"/>
        <w:gridCol w:w="784"/>
        <w:gridCol w:w="808"/>
        <w:gridCol w:w="779"/>
        <w:gridCol w:w="1074"/>
        <w:gridCol w:w="927"/>
        <w:gridCol w:w="1114"/>
        <w:gridCol w:w="1171"/>
      </w:tblGrid>
      <w:tr>
        <w:trPr>
          <w:trHeight w:val="263" w:hRule="atLeast"/>
        </w:trPr>
        <w:tc>
          <w:tcPr>
            <w:tcW w:w="19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4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ведомственной целевой программы, основного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10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</w:p>
        </w:tc>
        <w:tc>
          <w:tcPr>
            <w:tcW w:w="16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Целевой показатель </w:t>
            </w:r>
          </w:p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4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665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</w:t>
            </w:r>
          </w:p>
        </w:tc>
      </w:tr>
      <w:tr>
        <w:trPr>
          <w:trHeight w:val="121" w:hRule="atLeast"/>
        </w:trPr>
        <w:tc>
          <w:tcPr>
            <w:tcW w:w="191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4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0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7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2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1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Всего</w:t>
            </w:r>
          </w:p>
        </w:tc>
      </w:tr>
      <w:tr>
        <w:trPr>
          <w:trHeight w:val="265" w:hRule="atLeast"/>
        </w:trPr>
        <w:tc>
          <w:tcPr>
            <w:tcW w:w="19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27" w:hRule="exact"/>
        </w:trPr>
        <w:tc>
          <w:tcPr>
            <w:tcW w:w="1919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Подпрограмма 2</w:t>
            </w:r>
          </w:p>
          <w:p>
            <w:pPr>
              <w:pStyle w:val="Normal"/>
              <w:rPr>
                <w:b/>
                <w:b/>
                <w:i/>
                <w:i/>
                <w:color w:val="FF0000"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«Развитие культурно – досугового  обеспечения населения Никольского муниципального района»</w:t>
            </w:r>
            <w:r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>
            <w:pPr>
              <w:pStyle w:val="Normal"/>
              <w:rPr>
                <w:b/>
                <w:b/>
                <w:i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1429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Культурно-досуговая деятельность</w:t>
            </w:r>
          </w:p>
        </w:tc>
        <w:tc>
          <w:tcPr>
            <w:tcW w:w="1032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635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13972,8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9358,9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9424,2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61366,0</w:t>
            </w:r>
          </w:p>
        </w:tc>
      </w:tr>
      <w:tr>
        <w:trPr>
          <w:trHeight w:val="454" w:hRule="exac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6748,4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7358,9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7424,2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44141,6</w:t>
            </w:r>
          </w:p>
        </w:tc>
      </w:tr>
      <w:tr>
        <w:trPr>
          <w:trHeight w:val="359" w:hRule="exac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1378,5</w:t>
            </w:r>
          </w:p>
        </w:tc>
      </w:tr>
      <w:tr>
        <w:trPr>
          <w:trHeight w:val="436" w:hRule="exac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4615,1</w:t>
            </w:r>
          </w:p>
        </w:tc>
      </w:tr>
      <w:tr>
        <w:trPr>
          <w:trHeight w:val="361" w:hRule="exac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</w:tr>
      <w:tr>
        <w:trPr>
          <w:trHeight w:val="347" w:hRule="exac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11230,8</w:t>
            </w:r>
          </w:p>
        </w:tc>
      </w:tr>
      <w:tr>
        <w:trPr>
          <w:trHeight w:val="347" w:hRule="exact"/>
        </w:trPr>
        <w:tc>
          <w:tcPr>
            <w:tcW w:w="191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Style91"/>
              <w:widowControl/>
              <w:tabs>
                <w:tab w:val="left" w:pos="34" w:leader="none"/>
              </w:tabs>
              <w:spacing w:lineRule="auto" w:line="240"/>
              <w:ind w:left="34" w:right="2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032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Style w:val="Style17"/>
                <w:rFonts w:ascii="Times New Roman" w:hAnsi="Times New Roman"/>
                <w:i w:val="false"/>
                <w:i w:val="false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Style17"/>
                <w:rFonts w:ascii="Times New Roman" w:hAnsi="Times New Roman"/>
                <w:i w:val="false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11263,7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6411,7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6445,3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43696,6</w:t>
            </w:r>
          </w:p>
        </w:tc>
      </w:tr>
      <w:tr>
        <w:trPr>
          <w:trHeight w:val="121" w:hRule="atLeas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4454,5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5086,4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30260,9</w:t>
            </w:r>
          </w:p>
        </w:tc>
      </w:tr>
      <w:tr>
        <w:trPr>
          <w:trHeight w:val="121" w:hRule="atLeas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1378,5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1378,5</w:t>
            </w:r>
          </w:p>
        </w:tc>
      </w:tr>
      <w:tr>
        <w:trPr>
          <w:trHeight w:val="121" w:hRule="atLeas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4615,1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4615,1</w:t>
            </w:r>
          </w:p>
        </w:tc>
      </w:tr>
      <w:tr>
        <w:trPr>
          <w:trHeight w:val="121" w:hRule="atLeas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>
        <w:trPr>
          <w:trHeight w:val="227" w:hRule="exact"/>
        </w:trPr>
        <w:tc>
          <w:tcPr>
            <w:tcW w:w="191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i/>
                <w:i/>
                <w:strike/>
                <w:sz w:val="16"/>
                <w:szCs w:val="16"/>
              </w:rPr>
            </w:pPr>
            <w:r>
              <w:rPr>
                <w:i/>
                <w:strike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7442,1</w:t>
            </w:r>
          </w:p>
        </w:tc>
      </w:tr>
      <w:tr>
        <w:trPr>
          <w:trHeight w:val="397" w:hRule="exact"/>
        </w:trPr>
        <w:tc>
          <w:tcPr>
            <w:tcW w:w="191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i/>
                <w:i/>
                <w:strike/>
                <w:sz w:val="16"/>
                <w:szCs w:val="16"/>
              </w:rPr>
            </w:pPr>
            <w:r>
              <w:rPr>
                <w:i/>
                <w:strike/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из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Style91"/>
              <w:widowControl/>
              <w:tabs>
                <w:tab w:val="left" w:pos="34" w:leader="none"/>
              </w:tabs>
              <w:spacing w:lineRule="auto" w:line="240"/>
              <w:ind w:right="2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>
            <w:pPr>
              <w:pStyle w:val="Style91"/>
              <w:tabs>
                <w:tab w:val="left" w:pos="34" w:leader="none"/>
              </w:tabs>
              <w:ind w:right="3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Style w:val="Style17"/>
                <w:rFonts w:ascii="Times New Roman" w:hAnsi="Times New Roman"/>
                <w:i w:val="false"/>
                <w:i w:val="false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Style17"/>
                <w:rFonts w:ascii="Times New Roman" w:hAnsi="Times New Roman"/>
                <w:i w:val="false"/>
                <w:sz w:val="16"/>
                <w:szCs w:val="16"/>
              </w:rPr>
              <w:t>- Количество клубных формирований</w:t>
            </w:r>
          </w:p>
          <w:p>
            <w:pPr>
              <w:pStyle w:val="NoSpacing"/>
              <w:rPr>
                <w:rStyle w:val="Style17"/>
                <w:rFonts w:ascii="Times New Roman" w:hAnsi="Times New Roman"/>
                <w:i w:val="false"/>
                <w:i w:val="false"/>
                <w:sz w:val="16"/>
                <w:szCs w:val="16"/>
              </w:rPr>
            </w:pPr>
            <w:r>
              <w:rPr>
                <w:rFonts w:ascii="Times New Roman" w:hAnsi="Times New Roman"/>
                <w:i w:val="false"/>
                <w:sz w:val="16"/>
                <w:szCs w:val="16"/>
              </w:rPr>
            </w:r>
          </w:p>
          <w:p>
            <w:pPr>
              <w:pStyle w:val="NoSpacing"/>
              <w:rPr>
                <w:rStyle w:val="Style17"/>
                <w:rFonts w:ascii="Times New Roman" w:hAnsi="Times New Roman"/>
                <w:i w:val="false"/>
                <w:i w:val="false"/>
                <w:sz w:val="16"/>
                <w:szCs w:val="16"/>
              </w:rPr>
            </w:pPr>
            <w:r>
              <w:rPr>
                <w:rStyle w:val="Style17"/>
                <w:rFonts w:ascii="Times New Roman" w:hAnsi="Times New Roman"/>
                <w:i w:val="false"/>
                <w:sz w:val="16"/>
                <w:szCs w:val="16"/>
              </w:rPr>
              <w:t>- Численность участников клубных формирований</w:t>
            </w:r>
          </w:p>
          <w:p>
            <w:pPr>
              <w:pStyle w:val="NoSpacing"/>
              <w:jc w:val="both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2947,2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2978,9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17669,4</w:t>
            </w:r>
          </w:p>
        </w:tc>
      </w:tr>
      <w:tr>
        <w:trPr>
          <w:trHeight w:val="397" w:hRule="exact"/>
        </w:trPr>
        <w:tc>
          <w:tcPr>
            <w:tcW w:w="191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Style91"/>
              <w:widowControl/>
              <w:tabs>
                <w:tab w:val="left" w:pos="34" w:leader="none"/>
              </w:tabs>
              <w:spacing w:lineRule="auto" w:line="240"/>
              <w:ind w:left="394" w:right="3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2293,9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2272,5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2304,2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13880,7</w:t>
            </w:r>
          </w:p>
        </w:tc>
      </w:tr>
      <w:tr>
        <w:trPr>
          <w:trHeight w:val="121" w:hRule="atLeast"/>
        </w:trPr>
        <w:tc>
          <w:tcPr>
            <w:tcW w:w="191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87" w:hRule="atLeast"/>
        </w:trPr>
        <w:tc>
          <w:tcPr>
            <w:tcW w:w="191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1919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191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2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5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3788,7</w:t>
            </w:r>
          </w:p>
        </w:tc>
      </w:tr>
    </w:tbl>
    <w:p>
      <w:pPr>
        <w:pStyle w:val="Normal"/>
        <w:textAlignment w:val="top"/>
        <w:rPr>
          <w:sz w:val="40"/>
        </w:rPr>
      </w:pPr>
      <w:r>
        <w:rPr>
          <w:sz w:val="40"/>
        </w:rPr>
        <w:t xml:space="preserve">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textAlignment w:val="top"/>
        <w:rPr/>
      </w:pPr>
      <w:r>
        <w:rPr>
          <w:b/>
          <w:sz w:val="16"/>
          <w:szCs w:val="16"/>
        </w:rPr>
        <w:t xml:space="preserve"> </w:t>
      </w:r>
      <w:r>
        <w:rPr/>
        <w:t>Приложение 4 к постановлению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администрации Никольского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муниципального района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 29.04.2021 года № 335</w:t>
      </w:r>
    </w:p>
    <w:p>
      <w:pPr>
        <w:pStyle w:val="Normal"/>
        <w:jc w:val="right"/>
        <w:rPr/>
      </w:pPr>
      <w:r>
        <w:rPr/>
        <w:t>Приложение 6</w:t>
      </w:r>
    </w:p>
    <w:p>
      <w:pPr>
        <w:pStyle w:val="Normal"/>
        <w:jc w:val="right"/>
        <w:rPr/>
      </w:pPr>
      <w:r>
        <w:rPr/>
        <w:t xml:space="preserve">к подпрограмме </w:t>
      </w:r>
      <w:r>
        <w:rPr>
          <w:i/>
        </w:rPr>
        <w:t>2</w:t>
      </w:r>
      <w:r>
        <w:rPr/>
        <w:t xml:space="preserve"> муниципальной программы</w:t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 xml:space="preserve">Прогноз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сводных показателей муниципальных заданий на оказание муниципальных услуг (выполнение работ)</w:t>
      </w:r>
    </w:p>
    <w:p>
      <w:pPr>
        <w:pStyle w:val="Normal"/>
        <w:jc w:val="center"/>
        <w:rPr>
          <w:b/>
          <w:b/>
        </w:rPr>
      </w:pPr>
      <w:r>
        <w:rPr>
          <w:b/>
          <w:i/>
        </w:rPr>
        <w:t>муниципальными учреждениями</w:t>
      </w:r>
      <w:r>
        <w:rPr>
          <w:b/>
        </w:rPr>
        <w:t xml:space="preserve"> по подпрограмме </w:t>
      </w:r>
      <w:r>
        <w:rPr>
          <w:b/>
          <w:i/>
        </w:rPr>
        <w:t>2</w:t>
      </w:r>
      <w:r>
        <w:rPr>
          <w:b/>
        </w:rPr>
        <w:t xml:space="preserve"> муниципальной программы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4a0"/>
      </w:tblPr>
      <w:tblGrid>
        <w:gridCol w:w="2564"/>
        <w:gridCol w:w="2691"/>
        <w:gridCol w:w="899"/>
        <w:gridCol w:w="896"/>
        <w:gridCol w:w="766"/>
        <w:gridCol w:w="763"/>
        <w:gridCol w:w="645"/>
        <w:gridCol w:w="766"/>
        <w:gridCol w:w="648"/>
        <w:gridCol w:w="772"/>
        <w:gridCol w:w="766"/>
        <w:gridCol w:w="702"/>
        <w:gridCol w:w="778"/>
        <w:gridCol w:w="772"/>
        <w:gridCol w:w="709"/>
      </w:tblGrid>
      <w:tr>
        <w:trPr/>
        <w:tc>
          <w:tcPr>
            <w:tcW w:w="25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>Наименование</w:t>
            </w:r>
          </w:p>
          <w:p>
            <w:pPr>
              <w:pStyle w:val="Normal"/>
              <w:tabs>
                <w:tab w:val="left" w:pos="120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26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8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448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  <w:br/>
              <w:t>услуги (работы)</w:t>
            </w:r>
          </w:p>
        </w:tc>
        <w:tc>
          <w:tcPr>
            <w:tcW w:w="449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2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>
        <w:trPr/>
        <w:tc>
          <w:tcPr>
            <w:tcW w:w="15137" w:type="dxa"/>
            <w:gridSpan w:val="15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>
        <w:trPr>
          <w:trHeight w:val="270" w:hRule="atLeast"/>
        </w:trPr>
        <w:tc>
          <w:tcPr>
            <w:tcW w:w="2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shd w:fill="FFFFFF" w:val="clear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rStyle w:val="Style17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1939,6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2211,7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2245,3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eastAsia="en-US"/>
              </w:rPr>
              <w:t>2325,3</w:t>
            </w:r>
          </w:p>
        </w:tc>
      </w:tr>
      <w:tr>
        <w:trPr>
          <w:trHeight w:val="150" w:hRule="atLeast"/>
        </w:trPr>
        <w:tc>
          <w:tcPr>
            <w:tcW w:w="25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hd w:fill="FFFFFF" w:val="clear"/>
              </w:rPr>
              <w:t xml:space="preserve">Организация и проведение культурно-массовых мероприятий </w:t>
            </w:r>
            <w:r>
              <w:rPr>
                <w:sz w:val="18"/>
                <w:szCs w:val="18"/>
              </w:rPr>
              <w:t>(платная)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Style17"/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89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</w:tr>
      <w:tr>
        <w:trPr>
          <w:trHeight w:val="195" w:hRule="atLeast"/>
        </w:trPr>
        <w:tc>
          <w:tcPr>
            <w:tcW w:w="25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26" w:hanging="6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22058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</w:tr>
      <w:tr>
        <w:trPr>
          <w:trHeight w:val="225" w:hRule="atLeast"/>
        </w:trPr>
        <w:tc>
          <w:tcPr>
            <w:tcW w:w="25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rStyle w:val="Style17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</w:tr>
      <w:tr>
        <w:trPr>
          <w:trHeight w:val="180" w:hRule="atLeast"/>
        </w:trPr>
        <w:tc>
          <w:tcPr>
            <w:tcW w:w="25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rStyle w:val="Style17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49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</w:tr>
      <w:tr>
        <w:trPr>
          <w:trHeight w:val="459" w:hRule="atLeast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>
        <w:trPr>
          <w:trHeight w:val="561" w:hRule="atLeast"/>
        </w:trPr>
        <w:tc>
          <w:tcPr>
            <w:tcW w:w="256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750,0</w:t>
            </w:r>
          </w:p>
        </w:tc>
      </w:tr>
      <w:tr>
        <w:trPr>
          <w:trHeight w:val="413" w:hRule="atLeast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750,0</w:t>
            </w:r>
          </w:p>
        </w:tc>
      </w:tr>
      <w:tr>
        <w:trPr>
          <w:trHeight w:val="834" w:hRule="atLeast"/>
        </w:trPr>
        <w:tc>
          <w:tcPr>
            <w:tcW w:w="256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761,4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  <w:t xml:space="preserve">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5 к постановлению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администрации Никольского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муниципального района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 29.04.2021 года № 335</w:t>
      </w:r>
    </w:p>
    <w:p>
      <w:pPr>
        <w:pStyle w:val="Normal"/>
        <w:widowControl w:val="false"/>
        <w:jc w:val="right"/>
        <w:rPr/>
      </w:pPr>
      <w:r>
        <w:rPr/>
        <w:t xml:space="preserve">Приложение 3  </w:t>
      </w:r>
    </w:p>
    <w:p>
      <w:pPr>
        <w:pStyle w:val="Normal"/>
        <w:widowControl w:val="false"/>
        <w:jc w:val="right"/>
        <w:rPr/>
      </w:pPr>
      <w:r>
        <w:rPr/>
        <w:t>к подпрограмме 3 муниципальной программы</w:t>
      </w:r>
    </w:p>
    <w:p>
      <w:pPr>
        <w:pStyle w:val="Normal"/>
        <w:jc w:val="right"/>
        <w:textAlignment w:val="top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>ФИНАНСОВОЕ ОБЕСПЕЧЕНИЕ</w:t>
      </w:r>
    </w:p>
    <w:p>
      <w:pPr>
        <w:pStyle w:val="Normal"/>
        <w:widowControl w:val="false"/>
        <w:jc w:val="center"/>
        <w:rPr>
          <w:b/>
          <w:b/>
          <w:szCs w:val="20"/>
        </w:rPr>
      </w:pPr>
      <w:r>
        <w:rPr>
          <w:b/>
          <w:szCs w:val="20"/>
        </w:rPr>
        <w:t xml:space="preserve">подпрограммы 3 муниципальной программы </w:t>
      </w:r>
    </w:p>
    <w:p>
      <w:pPr>
        <w:pStyle w:val="Normal"/>
        <w:widowControl w:val="false"/>
        <w:jc w:val="center"/>
        <w:rPr>
          <w:b/>
          <w:b/>
          <w:caps/>
          <w:szCs w:val="20"/>
        </w:rPr>
      </w:pPr>
      <w:r>
        <w:rPr>
          <w:b/>
          <w:caps/>
          <w:szCs w:val="20"/>
        </w:rPr>
      </w:r>
    </w:p>
    <w:tbl>
      <w:tblPr>
        <w:tblW w:w="5000" w:type="pct"/>
        <w:jc w:val="left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1852"/>
        <w:gridCol w:w="1358"/>
        <w:gridCol w:w="1553"/>
        <w:gridCol w:w="1479"/>
        <w:gridCol w:w="2626"/>
        <w:gridCol w:w="834"/>
        <w:gridCol w:w="834"/>
        <w:gridCol w:w="834"/>
        <w:gridCol w:w="834"/>
        <w:gridCol w:w="834"/>
        <w:gridCol w:w="834"/>
        <w:gridCol w:w="1264"/>
      </w:tblGrid>
      <w:tr>
        <w:trPr>
          <w:trHeight w:val="313" w:hRule="atLeast"/>
        </w:trPr>
        <w:tc>
          <w:tcPr>
            <w:tcW w:w="18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right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ведомственной целевой программы, основного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55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147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268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Расходы (тыс.руб.)</w:t>
            </w:r>
          </w:p>
        </w:tc>
      </w:tr>
      <w:tr>
        <w:trPr/>
        <w:tc>
          <w:tcPr>
            <w:tcW w:w="1852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58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3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9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  <w:tc>
          <w:tcPr>
            <w:tcW w:w="2626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185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84" w:hRule="exac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15755,11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16121,8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16327,9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92409,2</w:t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14042,6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14409,3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85356,7</w:t>
            </w:r>
          </w:p>
        </w:tc>
      </w:tr>
      <w:tr>
        <w:trPr>
          <w:trHeight w:val="697" w:hRule="exac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7002,5</w:t>
            </w:r>
          </w:p>
        </w:tc>
      </w:tr>
      <w:tr>
        <w:trPr>
          <w:trHeight w:val="708" w:hRule="exac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50,0</w:t>
            </w:r>
          </w:p>
        </w:tc>
      </w:tr>
      <w:tr>
        <w:trPr>
          <w:trHeight w:val="625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2860,0</w:t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1360,0</w:t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89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Библиотечное, библиографическое, и информационное обслуживание пользователей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>
            <w:pPr>
              <w:pStyle w:val="Normal"/>
              <w:widowControl w:val="false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1370,0</w:t>
            </w:r>
          </w:p>
        </w:tc>
      </w:tr>
      <w:tr>
        <w:trPr>
          <w:trHeight w:val="51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1320,0</w:t>
            </w:r>
          </w:p>
        </w:tc>
      </w:tr>
      <w:tr>
        <w:trPr>
          <w:trHeight w:val="36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деятельности учреждения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13453,4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13820,1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14026,2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81934,6</w:t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12394,1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13453,4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14026,2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14120,4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14120,4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81934,6</w:t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682" w:hRule="atLeast"/>
        </w:trPr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6094,6</w:t>
            </w:r>
          </w:p>
        </w:tc>
      </w:tr>
      <w:tr>
        <w:trPr/>
        <w:tc>
          <w:tcPr>
            <w:tcW w:w="185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452,1</w:t>
            </w:r>
          </w:p>
        </w:tc>
      </w:tr>
      <w:tr>
        <w:trPr/>
        <w:tc>
          <w:tcPr>
            <w:tcW w:w="185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5642,5</w:t>
            </w:r>
          </w:p>
        </w:tc>
      </w:tr>
      <w:tr>
        <w:trPr/>
        <w:tc>
          <w:tcPr>
            <w:tcW w:w="185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185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185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  <w:t>Приложение 6  к постановлению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администрации Никольского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муниципального района </w:t>
      </w:r>
    </w:p>
    <w:p>
      <w:pPr>
        <w:pStyle w:val="Normal"/>
        <w:widowControl w:val="false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 29.04.2021 года № 335</w:t>
      </w:r>
    </w:p>
    <w:p>
      <w:pPr>
        <w:pStyle w:val="Normal"/>
        <w:jc w:val="right"/>
        <w:rPr/>
      </w:pPr>
      <w:r>
        <w:rPr/>
        <w:t xml:space="preserve">Приложение 3 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/>
        <w:t>к подпрограмме 4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outlineLvl w:val="2"/>
        <w:rPr/>
      </w:pPr>
      <w:r>
        <w:rPr/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ФИНАНСОВОЕ ОБЕСПЕЧЕНИЕ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подпрограммы 4 муниципальной программы </w:t>
      </w:r>
    </w:p>
    <w:p>
      <w:pPr>
        <w:pStyle w:val="Normal"/>
        <w:widowControl w:val="false"/>
        <w:jc w:val="center"/>
        <w:rPr>
          <w:b/>
          <w:b/>
          <w:caps/>
        </w:rPr>
      </w:pPr>
      <w:r>
        <w:rPr>
          <w:b/>
          <w:caps/>
        </w:rPr>
      </w:r>
    </w:p>
    <w:tbl>
      <w:tblPr>
        <w:tblW w:w="16019" w:type="dxa"/>
        <w:jc w:val="left"/>
        <w:tblInd w:w="-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417"/>
        <w:gridCol w:w="1701"/>
        <w:gridCol w:w="992"/>
        <w:gridCol w:w="2693"/>
        <w:gridCol w:w="1985"/>
        <w:gridCol w:w="993"/>
        <w:gridCol w:w="991"/>
        <w:gridCol w:w="992"/>
        <w:gridCol w:w="991"/>
        <w:gridCol w:w="994"/>
        <w:gridCol w:w="993"/>
        <w:gridCol w:w="1276"/>
      </w:tblGrid>
      <w:tr>
        <w:trPr/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статус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наименование         </w:t>
              <w:br/>
              <w:t>ведомственной целевой</w:t>
              <w:br/>
              <w:t xml:space="preserve">программы, основного </w:t>
              <w:br/>
              <w:t xml:space="preserve">мероприятия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ответственный исполнитель,   </w:t>
              <w:br/>
              <w:t xml:space="preserve">участник         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2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расходы (тыс. руб.), год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</w:tr>
      <w:tr>
        <w:trPr/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Style w:val="FontStyle87"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Подпрограмма  </w:t>
            </w:r>
            <w:r>
              <w:rPr>
                <w:rStyle w:val="FontStyle87"/>
                <w:i/>
                <w:sz w:val="18"/>
                <w:szCs w:val="18"/>
              </w:rPr>
              <w:t>«</w:t>
            </w:r>
            <w:r>
              <w:rPr>
                <w:b/>
                <w:bCs/>
                <w:i/>
                <w:sz w:val="18"/>
                <w:szCs w:val="18"/>
              </w:rPr>
              <w:t xml:space="preserve">Развитие </w:t>
            </w:r>
            <w:r>
              <w:rPr>
                <w:rStyle w:val="FontStyle87"/>
                <w:i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>
            <w:pPr>
              <w:pStyle w:val="Normal"/>
              <w:rPr>
                <w:rStyle w:val="FontStyle87"/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rStyle w:val="FontStyle87"/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rStyle w:val="FontStyle87"/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rStyle w:val="FontStyle87"/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Style w:val="FontStyle87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>
            <w:pPr>
              <w:pStyle w:val="Normal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 2020 - 2025 годы»</w:t>
            </w:r>
          </w:p>
          <w:p>
            <w:pPr>
              <w:pStyle w:val="Normal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Реализация дополнительных общеобразовательных, предпрофессиональных программ, реализация дополнительных общеобразовательных, общеразвивающих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МБУ ДО «НДШИ»                  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12974,8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12494,5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12656,5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75098,9</w:t>
            </w:r>
          </w:p>
        </w:tc>
      </w:tr>
      <w:tr>
        <w:trPr>
          <w:trHeight w:val="279" w:hRule="atLeast"/>
        </w:trPr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11499,8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10994,5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11156,5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66352,4</w:t>
            </w:r>
          </w:p>
        </w:tc>
      </w:tr>
      <w:tr>
        <w:trPr>
          <w:trHeight w:val="729" w:hRule="atLeast"/>
        </w:trPr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</w:tr>
      <w:tr>
        <w:trPr/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</w:tr>
      <w:tr>
        <w:trPr>
          <w:trHeight w:val="543" w:hRule="atLeast"/>
        </w:trPr>
        <w:tc>
          <w:tcPr>
            <w:tcW w:w="14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1475,0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8746,5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Style w:val="FontStyle87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мероприятие 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МБУ ДО «НДШИ»                  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</w:rPr>
              <w:t>доля детей, обучающихся по ФГТ, в общей  численности учащихся детей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2032,7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  <w:lang w:eastAsia="en-US"/>
              </w:rPr>
              <w:t>2062,7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  <w:lang w:eastAsia="en-US"/>
              </w:rPr>
              <w:t>2062,7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  <w:lang w:eastAsia="en-US"/>
              </w:rPr>
              <w:t>2062,7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11986,2</w:t>
            </w:r>
          </w:p>
        </w:tc>
      </w:tr>
      <w:tr>
        <w:trPr/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Style w:val="FontStyle87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1820,0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1850,0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10710,0</w:t>
            </w:r>
          </w:p>
        </w:tc>
      </w:tr>
      <w:tr>
        <w:trPr/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4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4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мероприятие 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Реализация дополнительных общеразвивающих программ.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МБУ ДО «НДШИ»                   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/>
              <w:t xml:space="preserve">- </w:t>
            </w:r>
            <w:r>
              <w:rPr>
                <w:sz w:val="20"/>
                <w:szCs w:val="20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доля детей, привлекаемых к участию в творческих мероприятиях от общего количества детей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10972,1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10461,8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10593,8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63112,7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8838,6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9709,8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9174,5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9306,5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9306,5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9306,5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55642,4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779" w:hRule="atLeast"/>
        </w:trPr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1262,3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7470,3</w:t>
            </w:r>
          </w:p>
        </w:tc>
      </w:tr>
    </w:tbl>
    <w:p>
      <w:pPr>
        <w:pStyle w:val="Normal"/>
        <w:widowControl w:val="false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  <w:t>Приложение 7 к постановлению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администрации Никольского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муниципального района </w:t>
      </w:r>
    </w:p>
    <w:p>
      <w:pPr>
        <w:pStyle w:val="Normal"/>
        <w:widowControl w:val="false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 29.04.2021 года № 335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/>
        <w:t xml:space="preserve">Приложение 6 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/>
        <w:t>к подпрограмме 4 муниципальной программы</w:t>
      </w:r>
    </w:p>
    <w:p>
      <w:pPr>
        <w:pStyle w:val="Normal"/>
        <w:widowControl w:val="false"/>
        <w:jc w:val="center"/>
        <w:rPr>
          <w:caps/>
        </w:rPr>
      </w:pPr>
      <w:r>
        <w:rPr>
          <w:caps/>
        </w:rPr>
      </w:r>
    </w:p>
    <w:p>
      <w:pPr>
        <w:pStyle w:val="Normal"/>
        <w:widowControl w:val="false"/>
        <w:jc w:val="center"/>
        <w:rPr>
          <w:b/>
          <w:b/>
          <w:caps/>
        </w:rPr>
      </w:pPr>
      <w:r>
        <w:rPr>
          <w:b/>
          <w:caps/>
        </w:rPr>
        <w:t>ПРОГНОЗ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сводных показателей муниципального задания на оказание муниципальных услуг (выполнение работ)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МБУ ДО «НДШИ» по подпрограмме 4 муниципальной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310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1984"/>
        <w:gridCol w:w="994"/>
        <w:gridCol w:w="850"/>
        <w:gridCol w:w="851"/>
        <w:gridCol w:w="850"/>
        <w:gridCol w:w="851"/>
        <w:gridCol w:w="849"/>
        <w:gridCol w:w="852"/>
        <w:gridCol w:w="849"/>
        <w:gridCol w:w="852"/>
        <w:gridCol w:w="849"/>
        <w:gridCol w:w="852"/>
        <w:gridCol w:w="849"/>
        <w:gridCol w:w="852"/>
      </w:tblGrid>
      <w:tr>
        <w:trPr/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1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1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Расходы  на оказание муниципальной услуги (выполнение работы), тыс.руб.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226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>
        <w:trPr/>
        <w:tc>
          <w:tcPr>
            <w:tcW w:w="1531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Наименование учредителя: </w:t>
            </w:r>
            <w:r>
              <w:rPr>
                <w:b/>
                <w:color w:val="000000" w:themeColor="text1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>
        <w:trPr/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(Фортепиано)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4289,7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4846,5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5403,3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5960,1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(Живопись)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27367,6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29674,6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31981,6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34288,6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36595,6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1297,0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14173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16093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19933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21853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23773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(Хоровое пение)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1882,8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2286,1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26894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3092,7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3496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3899,3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(Народные инструменты)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1228,8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1907,2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2246,4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2585,6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2924,8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Число человеко-часов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52561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52061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51561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51061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50561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ind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9897,4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ind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10972,1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ind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10461,8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ind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10593,8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ind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10593,8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spacing w:lineRule="auto" w:line="276"/>
              <w:ind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10593,8</w:t>
            </w:r>
          </w:p>
        </w:tc>
      </w:tr>
    </w:tbl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outlineLvl w:val="2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  <w:t>Приложение 8 к постановлению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администрации Никольского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муниципального района </w:t>
      </w:r>
    </w:p>
    <w:p>
      <w:pPr>
        <w:pStyle w:val="Normal"/>
        <w:widowControl w:val="false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 29.04.2021 года № 335</w:t>
      </w:r>
    </w:p>
    <w:p>
      <w:pPr>
        <w:pStyle w:val="Normal"/>
        <w:widowControl w:val="false"/>
        <w:jc w:val="right"/>
        <w:rPr/>
      </w:pPr>
      <w:r>
        <w:rPr/>
        <w:t xml:space="preserve">Приложение 3  </w:t>
      </w:r>
    </w:p>
    <w:p>
      <w:pPr>
        <w:pStyle w:val="Normal"/>
        <w:widowControl w:val="false"/>
        <w:jc w:val="right"/>
        <w:rPr/>
      </w:pPr>
      <w:r>
        <w:rPr/>
        <w:t>к подпрограмме 6 муниципальной программы</w:t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ФИНАНСОВОЕ ОБЕСПЕЧЕНИЕ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453" w:type="dxa"/>
        <w:jc w:val="left"/>
        <w:tblInd w:w="-7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1418"/>
        <w:gridCol w:w="2125"/>
        <w:gridCol w:w="2128"/>
        <w:gridCol w:w="1701"/>
        <w:gridCol w:w="2767"/>
        <w:gridCol w:w="851"/>
        <w:gridCol w:w="851"/>
        <w:gridCol w:w="850"/>
        <w:gridCol w:w="851"/>
        <w:gridCol w:w="851"/>
        <w:gridCol w:w="850"/>
        <w:gridCol w:w="1209"/>
      </w:tblGrid>
      <w:tr>
        <w:trPr>
          <w:trHeight w:val="291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наименование         </w:t>
              <w:br/>
              <w:t>ведомственной целевой</w:t>
              <w:br/>
              <w:t xml:space="preserve">программы, основного </w:t>
              <w:br/>
              <w:t>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ответственный исполнитель,   </w:t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Целевой показатель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313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Расходы (тыс.руб.)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</w:tr>
      <w:tr>
        <w:trPr/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1       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2        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6  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7  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8   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</w:tr>
      <w:tr>
        <w:trPr>
          <w:trHeight w:val="454" w:hRule="exac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rPr>
                <w:b/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6»Обеспечение условий реализации муниципальной программы»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 – 2025 годы»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Управление культуры администрации Никольского муниципального района,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итого</w:t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3678,9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4065,8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  <w:lang w:eastAsia="en-US"/>
              </w:rPr>
              <w:t>23963,1</w:t>
            </w:r>
          </w:p>
        </w:tc>
      </w:tr>
      <w:tr>
        <w:trPr>
          <w:trHeight w:val="454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eastAsia="en-US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3646,4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4065,8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4054,6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  <w:lang w:eastAsia="en-US"/>
              </w:rPr>
              <w:t>23930,6</w:t>
            </w:r>
          </w:p>
        </w:tc>
      </w:tr>
      <w:tr>
        <w:trPr>
          <w:trHeight w:val="51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</w:tr>
      <w:tr>
        <w:trPr>
          <w:trHeight w:val="51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  <w:t>32,5</w:t>
            </w:r>
          </w:p>
        </w:tc>
      </w:tr>
      <w:tr>
        <w:trPr>
          <w:trHeight w:val="737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</w:tr>
      <w:tr>
        <w:trPr>
          <w:trHeight w:val="284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Cs w:val="18"/>
                <w:lang w:eastAsia="en-US"/>
              </w:rPr>
            </w:r>
          </w:p>
        </w:tc>
      </w:tr>
      <w:tr>
        <w:trPr>
          <w:trHeight w:val="454" w:hRule="exac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Основное мероприятие 1</w:t>
            </w:r>
          </w:p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caps/>
                <w:lang w:eastAsia="en-US"/>
              </w:rPr>
            </w:pPr>
            <w:r>
              <w:rPr>
                <w:rFonts w:cs="Times New Roman" w:ascii="Times New Roman" w:hAnsi="Times New Roman"/>
                <w:caps/>
                <w:lang w:eastAsia="en-US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caps/>
                <w:lang w:eastAsia="en-US"/>
              </w:rPr>
            </w:pPr>
            <w:r>
              <w:rPr>
                <w:rFonts w:cs="Times New Roman" w:ascii="Times New Roman" w:hAnsi="Times New Roman"/>
                <w:caps/>
                <w:lang w:eastAsia="en-US"/>
              </w:rPr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Доля мероприятий, выполненных в соответствии с планом работы Управления культуры 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1155,9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6857,5</w:t>
            </w:r>
          </w:p>
        </w:tc>
      </w:tr>
      <w:tr>
        <w:trPr>
          <w:trHeight w:val="454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1090,3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1155,9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1144,7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6825,0</w:t>
            </w:r>
          </w:p>
        </w:tc>
      </w:tr>
      <w:tr>
        <w:trPr>
          <w:trHeight w:val="51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>
        <w:trPr>
          <w:trHeight w:val="68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227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454" w:hRule="exac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хозяйственной деятельности учреждений культуры Никольского муниципального района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хозяйственной деятельности учреждений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17105,6</w:t>
            </w:r>
          </w:p>
        </w:tc>
      </w:tr>
      <w:tr>
        <w:trPr>
          <w:trHeight w:val="454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17105,6</w:t>
            </w:r>
          </w:p>
        </w:tc>
      </w:tr>
      <w:tr>
        <w:trPr>
          <w:trHeight w:val="51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51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680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284" w:hRule="exac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sectPr>
          <w:type w:val="nextPage"/>
          <w:pgSz w:orient="landscape" w:w="16838" w:h="11906"/>
          <w:pgMar w:left="1134" w:right="567" w:header="0" w:top="567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9 к постановлению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bookmarkStart w:id="3" w:name="__DdeLink__11292_1369093482"/>
      <w:r>
        <w:rPr>
          <w:b w:val="false"/>
          <w:bCs w:val="false"/>
          <w:sz w:val="24"/>
          <w:szCs w:val="24"/>
        </w:rPr>
        <w:t xml:space="preserve">администрации Никольского </w:t>
      </w:r>
    </w:p>
    <w:p>
      <w:pPr>
        <w:pStyle w:val="Normal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муниципального района </w:t>
      </w:r>
    </w:p>
    <w:p>
      <w:pPr>
        <w:pStyle w:val="Normal"/>
        <w:widowControl w:val="false"/>
        <w:ind w:left="142" w:hanging="0"/>
        <w:jc w:val="right"/>
        <w:textAlignment w:val="top"/>
        <w:rPr>
          <w:b w:val="false"/>
          <w:b w:val="false"/>
          <w:bCs w:val="false"/>
          <w:sz w:val="24"/>
          <w:szCs w:val="24"/>
        </w:rPr>
      </w:pPr>
      <w:bookmarkStart w:id="4" w:name="__DdeLink__11292_1369093482"/>
      <w:bookmarkEnd w:id="4"/>
      <w:r>
        <w:rPr>
          <w:b w:val="false"/>
          <w:bCs w:val="false"/>
          <w:sz w:val="24"/>
          <w:szCs w:val="24"/>
        </w:rPr>
        <w:t>от 29.04.2021 года № 335</w:t>
      </w:r>
    </w:p>
    <w:p>
      <w:pPr>
        <w:pStyle w:val="2"/>
        <w:spacing w:before="0" w:after="0"/>
        <w:jc w:val="center"/>
        <w:rPr>
          <w:rFonts w:ascii="Times New Roman" w:hAnsi="Times New Roman"/>
          <w:i w:val="false"/>
          <w:i w:val="false"/>
          <w:sz w:val="22"/>
          <w:szCs w:val="22"/>
        </w:rPr>
      </w:pPr>
      <w:r>
        <w:rPr>
          <w:rFonts w:ascii="Times New Roman" w:hAnsi="Times New Roman"/>
          <w:i w:val="false"/>
          <w:sz w:val="22"/>
          <w:szCs w:val="22"/>
        </w:rPr>
        <w:t>ПАСПОРТ</w:t>
      </w:r>
    </w:p>
    <w:p>
      <w:pPr>
        <w:pStyle w:val="2"/>
        <w:spacing w:before="0" w:after="0"/>
        <w:jc w:val="center"/>
        <w:rPr>
          <w:rFonts w:ascii="Times New Roman" w:hAnsi="Times New Roman"/>
          <w:i w:val="false"/>
          <w:i w:val="false"/>
          <w:sz w:val="22"/>
          <w:szCs w:val="22"/>
        </w:rPr>
      </w:pPr>
      <w:r>
        <w:rPr>
          <w:rFonts w:ascii="Times New Roman" w:hAnsi="Times New Roman"/>
          <w:i w:val="false"/>
          <w:sz w:val="22"/>
          <w:szCs w:val="22"/>
        </w:rPr>
        <w:t>Подпрограммы 7</w:t>
      </w:r>
      <w:r>
        <w:rPr>
          <w:rFonts w:ascii="Times New Roman" w:hAnsi="Times New Roman"/>
          <w:b w:val="false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sz w:val="22"/>
          <w:szCs w:val="22"/>
        </w:rPr>
        <w:t>«Развитие архивного дела в Никольском муниципальном районе»</w:t>
      </w:r>
    </w:p>
    <w:p>
      <w:pPr>
        <w:pStyle w:val="Normal"/>
        <w:rPr/>
      </w:pPr>
      <w:r>
        <w:rPr/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91"/>
        <w:gridCol w:w="6706"/>
      </w:tblGrid>
      <w:tr>
        <w:trPr/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Ответственный исполнитель подпрограммы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Администрация Никольского муниципального района Вологодской области (архивный отдел)</w:t>
            </w:r>
          </w:p>
        </w:tc>
      </w:tr>
      <w:tr>
        <w:trPr/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Участники подпрограммы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Администрация Никольского муниципального района Вологодской области (архивный отдел)</w:t>
            </w:r>
          </w:p>
        </w:tc>
      </w:tr>
      <w:tr>
        <w:trPr>
          <w:trHeight w:val="2110" w:hRule="atLeast"/>
        </w:trPr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Цель и задачи подпрограммы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219" w:leader="none"/>
              </w:tabs>
              <w:ind w:left="0" w:hanging="0"/>
              <w:jc w:val="both"/>
              <w:rPr/>
            </w:pPr>
            <w:r>
              <w:rPr/>
              <w:t>Цель:</w:t>
            </w:r>
          </w:p>
          <w:p>
            <w:pPr>
              <w:pStyle w:val="NormalWeb"/>
              <w:tabs>
                <w:tab w:val="left" w:pos="219" w:leader="none"/>
              </w:tabs>
              <w:ind w:left="0" w:hanging="0"/>
              <w:jc w:val="both"/>
              <w:rPr/>
            </w:pPr>
            <w:r>
              <w:rPr/>
              <w:t>Развитие архивной отрасли Никольского муниципального района и улучшение условий хранения архивных документов</w:t>
            </w:r>
          </w:p>
          <w:p>
            <w:pPr>
              <w:pStyle w:val="NormalWeb"/>
              <w:tabs>
                <w:tab w:val="left" w:pos="219" w:leader="none"/>
              </w:tabs>
              <w:ind w:left="0" w:hanging="0"/>
              <w:jc w:val="both"/>
              <w:rPr/>
            </w:pPr>
            <w:r>
              <w:rPr/>
              <w:t>Задачи:</w:t>
            </w:r>
          </w:p>
          <w:p>
            <w:pPr>
              <w:pStyle w:val="NormalWeb"/>
              <w:tabs>
                <w:tab w:val="left" w:pos="219" w:leader="none"/>
              </w:tabs>
              <w:ind w:left="0" w:hanging="0"/>
              <w:jc w:val="both"/>
              <w:rPr/>
            </w:pPr>
            <w:r>
              <w:rPr/>
              <w:t>1.Обеспечение нормативных условий хранения, качественного комплектования, учета и эффективного использования архивных документов.</w:t>
            </w:r>
          </w:p>
          <w:p>
            <w:pPr>
              <w:pStyle w:val="NormalWeb"/>
              <w:tabs>
                <w:tab w:val="left" w:pos="219" w:leader="none"/>
              </w:tabs>
              <w:ind w:left="0" w:hanging="0"/>
              <w:jc w:val="both"/>
              <w:rPr/>
            </w:pPr>
            <w:r>
              <w:rPr/>
              <w:t xml:space="preserve">2.Повышение уровня качества жизни граждан посредством обеспечения максимальной доступности архивной информации, достижение муниципальным архивом района уровня развития, отвечающего потребностям современного общества. </w:t>
            </w:r>
          </w:p>
          <w:p>
            <w:pPr>
              <w:pStyle w:val="NormalWeb"/>
              <w:tabs>
                <w:tab w:val="left" w:pos="219" w:leader="none"/>
              </w:tabs>
              <w:spacing w:before="0" w:after="200"/>
              <w:ind w:left="0" w:hanging="0"/>
              <w:contextualSpacing/>
              <w:jc w:val="both"/>
              <w:rPr/>
            </w:pPr>
            <w:r>
              <w:rPr/>
              <w:t>3.Укрепление материально-технической базы Никольского муниципального архива</w:t>
            </w:r>
            <w:r>
              <w:rPr>
                <w:color w:val="FF0000"/>
              </w:rPr>
              <w:t xml:space="preserve"> </w:t>
            </w:r>
          </w:p>
        </w:tc>
      </w:tr>
      <w:tr>
        <w:trPr/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Программно-целевые инструменты подпрограммы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отсутствуют</w:t>
            </w:r>
          </w:p>
        </w:tc>
      </w:tr>
      <w:tr>
        <w:trPr/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Целевые показатели подпрограммы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1.Доля документов муниципального архива, находящихся в нормативных условиях хранения, в общем количестве документов муниципального архива. </w:t>
            </w:r>
          </w:p>
          <w:p>
            <w:pPr>
              <w:pStyle w:val="Normal"/>
              <w:rPr/>
            </w:pPr>
            <w:r>
              <w:rPr/>
              <w:t>2.Среднее число пользователей архивной информацией на 10 тыс. человек района</w:t>
            </w:r>
          </w:p>
          <w:p>
            <w:pPr>
              <w:pStyle w:val="Normal"/>
              <w:rPr/>
            </w:pPr>
            <w:r>
              <w:rPr/>
              <w:t>3. Выполнение плановых показателей на предоставление муниципальных услуг (выполнение работ) на обеспечение доступа пользователей к архивному фонду района</w:t>
            </w:r>
          </w:p>
        </w:tc>
      </w:tr>
      <w:tr>
        <w:trPr/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Сроки реализации подпрограммы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01.01.2021 – 31.12.2025 годы</w:t>
            </w:r>
          </w:p>
        </w:tc>
      </w:tr>
      <w:tr>
        <w:trPr/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Общий объем расходов:  8549,6  тыс. 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–1732,0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1704,4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1704,4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1704,4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1704,4тыс.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том числе: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 собственные доходы районного бюджета -7051,1 тыс. 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1432,3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1404,7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1404,7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1404,7 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1404,7 тыс. 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-межбюджетные трансферты из областного бюджета -1498,5  тыс. руб., в том числе по годам реализации: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2021 – 299,7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2022 – 299,7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2023 – 299,7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2024 – 299,7 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2025 – 299,7 тыс. руб.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>
            <w:pPr>
              <w:pStyle w:val="Style49"/>
              <w:spacing w:lineRule="auto" w:line="276"/>
              <w:rPr/>
            </w:pPr>
            <w:r>
              <w:rPr>
                <w:sz w:val="22"/>
                <w:szCs w:val="22"/>
              </w:rPr>
              <w:t>-внебюджетные средства - 0,0 тыс.руб.</w:t>
            </w:r>
          </w:p>
        </w:tc>
      </w:tr>
      <w:tr>
        <w:trPr/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Ожидаемые результаты подпрограммы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 период с 2021 по 2025 годы планируется достижение следующих результатов: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-Обеспечение доли документов архива, находящихся в нормативных условиях хранения, на уровне 98% в общем количестве документов.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 Увеличение среднего числа пользователей архивной информацией с 125 человек до 150 человек на10 тыс. человек населения;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- Выполнение плановых показателей на предоставление муниципальных услуг (выполнение работ) на обеспечение доступа пользователей к архивному фонду района (в пределах переданных полномочий) будет обеспечено на 100%.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Раздел 1. Общая характеристика сферы реализации </w:t>
      </w:r>
      <w:r>
        <w:rPr>
          <w:b/>
          <w:color w:val="000000"/>
        </w:rPr>
        <w:t>подпрограммы 7 муниципальной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Ресурсный потенциал архивной отрасли Никольского  муниципального района  складывался в течение длительного времени и в настоящее время включает в себя:  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информационный ресурс документов Никольского муниципального архива на 1 января 2019 года, включающий  в себя 36950 единиц хранения;  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источники комплектования Никольского муниципального архива - 35 организаций, в результате деятельности которых образуются документы, имеющие историческое, научное, социальное, экономическое и культурное значение;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отраслевых планов развития; 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планомерную информатизацию;</w:t>
      </w:r>
    </w:p>
    <w:p>
      <w:pPr>
        <w:pStyle w:val="ConsPlusNormal"/>
        <w:ind w:firstLine="72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систему ежеквартального и ежегодного мониторинга архивной деятельности.</w:t>
      </w:r>
      <w:r>
        <w:rPr>
          <w:rFonts w:eastAsia="TimesNewRoman"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 xml:space="preserve">Обеспечивая  вечное хранение и использование  архивных документов,  архивы выполняют социально важные функции по оказанию услуг, пополнению информационного ресурса государства и сохранению документальной памяти.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Информационные ресурсы Никольского муниципального архива являются частью единой автоматизированной информационной системы архивов России. 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Основополагающим в деятельности любого архива является создание оптимальных, соответствующих общегосударственным нормативным требованиям условий для обеспечения сохранности документов. К ним относятся поддержание определенного уровня температуры и влажности в архивохранилищах, обеспечение противопожарного режима, соблюдение санитарно-гигиенического режима, проведение мероприятий по биологической защите документов, упорядоченное размещение документов в первичных средствах хранения, проведение работ по ремонту материальной основы документов, регулярная проверка наличия документов. Отклонение от нормативных требований ведет к угрозе безвозвратной утраты комплекса информации, частичной или полной.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Архивная служба Никольского муниципального района осуществляет основные общественно необходимые функции: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удовлетворение потребностей граждан, общества и государства в ретроспективной информации;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сохранности, в том числе предотвращение утраты в результате старения, хищений, пожаров, иных угроз, и учет архивных документов;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включение документов в состав архивного фонда района и комплектование его документами, имеющими историческую и практическую ценность.</w:t>
      </w:r>
    </w:p>
    <w:p>
      <w:pPr>
        <w:pStyle w:val="Normal"/>
        <w:ind w:firstLine="720"/>
        <w:jc w:val="both"/>
        <w:rPr/>
      </w:pPr>
      <w:r>
        <w:rPr/>
        <w:t>Вместе с тем в области обеспечения сохранности архивных документов и  оказания архивных услуг населению остаются нерешенными следующие проблемы:</w:t>
      </w:r>
    </w:p>
    <w:p>
      <w:pPr>
        <w:pStyle w:val="Normal"/>
        <w:ind w:firstLine="720"/>
        <w:jc w:val="both"/>
        <w:rPr/>
      </w:pPr>
      <w:r>
        <w:rPr/>
        <w:t>низкий уровень внедрения информационных технологий в деятельность архивной отрасли;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финансовое обеспечение архивной отрасли района предусматривает, в основном, покрытие неотложных расходов по текущему содержанию архива и не позволяет в полной мере обеспечивать ее развитие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недостаточная материально-техническая база архива.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Недофинансирование отрасли неблагоприятно сказывается на ее кадровом и техническом потенциале и в конечном итоге на достижении целей. </w:t>
      </w:r>
    </w:p>
    <w:p>
      <w:pPr>
        <w:pStyle w:val="ConsPlusNormal"/>
        <w:ind w:firstLine="72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 xml:space="preserve">Архивы служат не только живущим сегодня гражданам, но и будущим поколениям россиян.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Поэтому успешное развитие архивов связано с сохранением накопленного потенциала и внедрением инноваций в их деятельность.   </w:t>
      </w:r>
    </w:p>
    <w:p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Раздел 2. Цели, задачи, целевые показатели, основные ожидаемые конечные результаты подпрограммы 7 муниципальной программы, сроки и этапы ее реализации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b/>
        </w:rPr>
        <w:t xml:space="preserve">Основной целью реализации подпрограммы 7 муниципальной программы </w:t>
      </w:r>
      <w:r>
        <w:rPr/>
        <w:t xml:space="preserve">является модернизация архивной отрасли Никольского муниципального района и улучшение условий хранения архивных документов. </w:t>
      </w:r>
    </w:p>
    <w:p>
      <w:pPr>
        <w:pStyle w:val="NormalWeb"/>
        <w:tabs>
          <w:tab w:val="left" w:pos="219" w:leader="none"/>
        </w:tabs>
        <w:ind w:left="360" w:hanging="0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Для достижения указанной цели предусматривается решение следующих задач:</w:t>
      </w:r>
    </w:p>
    <w:p>
      <w:pPr>
        <w:pStyle w:val="NormalWeb"/>
        <w:tabs>
          <w:tab w:val="left" w:pos="219" w:leader="none"/>
        </w:tabs>
        <w:ind w:left="0" w:hanging="0"/>
        <w:jc w:val="both"/>
        <w:rPr/>
      </w:pPr>
      <w:r>
        <w:rPr/>
        <w:t>- укрепление материально-технической базы Никольского муниципального архива;</w:t>
      </w:r>
    </w:p>
    <w:p>
      <w:pPr>
        <w:pStyle w:val="NormalWeb"/>
        <w:tabs>
          <w:tab w:val="left" w:pos="219" w:leader="none"/>
        </w:tabs>
        <w:ind w:left="0" w:hanging="0"/>
        <w:jc w:val="both"/>
        <w:rPr/>
      </w:pPr>
      <w:r>
        <w:rPr/>
        <w:t>- соблюдение нормативных режимов и надлежащей организации хранения архивных документов.</w:t>
      </w:r>
    </w:p>
    <w:p>
      <w:pPr>
        <w:pStyle w:val="NormalWeb"/>
        <w:tabs>
          <w:tab w:val="left" w:pos="219" w:leader="none"/>
        </w:tabs>
        <w:ind w:left="0" w:hanging="0"/>
        <w:jc w:val="both"/>
        <w:rPr/>
      </w:pPr>
      <w:r>
        <w:rPr/>
        <w:t>- повышение уровня качества жизни граждан посредством обеспечения доступности к архивной информации.</w:t>
      </w:r>
    </w:p>
    <w:p>
      <w:pPr>
        <w:pStyle w:val="Normal"/>
        <w:ind w:firstLine="709"/>
        <w:jc w:val="both"/>
        <w:rPr>
          <w:rStyle w:val="Style17"/>
          <w:i w:val="false"/>
          <w:i w:val="false"/>
        </w:rPr>
      </w:pPr>
      <w:r>
        <w:rPr/>
        <w:t xml:space="preserve"> </w:t>
      </w:r>
      <w:r>
        <w:rPr>
          <w:rStyle w:val="Style17"/>
        </w:rPr>
        <w:t>Сведения о целевых показателях (индикаторах) подпрограммы 7 муниципальной программы представлены в приложении 1 к подпрограмме 7 муниципальной программы.</w:t>
      </w:r>
    </w:p>
    <w:p>
      <w:pPr>
        <w:pStyle w:val="Normal"/>
        <w:ind w:firstLine="709"/>
        <w:jc w:val="both"/>
        <w:rPr>
          <w:rStyle w:val="Style17"/>
          <w:i w:val="false"/>
          <w:i w:val="false"/>
        </w:rPr>
      </w:pPr>
      <w:r>
        <w:rPr>
          <w:rStyle w:val="Style17"/>
        </w:rPr>
        <w:t>Методика расчета значений целевых показателей подпрограммы 7 муниципальной программы приведены в приложении 2 к подпрограмме 7 муниципальной программы.</w:t>
      </w:r>
    </w:p>
    <w:p>
      <w:pPr>
        <w:pStyle w:val="Normal"/>
        <w:ind w:firstLine="709"/>
        <w:jc w:val="both"/>
        <w:rPr>
          <w:rStyle w:val="Style17"/>
          <w:i w:val="false"/>
          <w:i w:val="false"/>
        </w:rPr>
      </w:pPr>
      <w:r>
        <w:rPr>
          <w:rStyle w:val="Style17"/>
        </w:rPr>
        <w:t xml:space="preserve"> </w:t>
      </w:r>
      <w:r>
        <w:rPr>
          <w:rStyle w:val="Style17"/>
        </w:rPr>
        <w:t xml:space="preserve">В результате реализации подпрограммы будет обеспечено достижение к 2025 году следующих результатов: </w:t>
      </w:r>
    </w:p>
    <w:p>
      <w:pPr>
        <w:pStyle w:val="Normal"/>
        <w:jc w:val="both"/>
        <w:rPr/>
      </w:pPr>
      <w:r>
        <w:rPr/>
        <w:t>- обеспечение доли документов муниципального архива, находящихся в нормативных условиях хранения, на уровне 98% в общем количестве документов;</w:t>
      </w:r>
    </w:p>
    <w:p>
      <w:pPr>
        <w:pStyle w:val="Normal"/>
        <w:jc w:val="both"/>
        <w:rPr/>
      </w:pPr>
      <w:r>
        <w:rPr/>
        <w:t xml:space="preserve">- среднее число пользователей архивной информацией возрастет с 152 человек до 200 человек на 10 тыс. человек населения в 2025 году; </w:t>
      </w:r>
    </w:p>
    <w:p>
      <w:pPr>
        <w:pStyle w:val="Normal"/>
        <w:jc w:val="both"/>
        <w:rPr/>
      </w:pPr>
      <w:r>
        <w:rPr/>
        <w:t>- выполнение плановых показателей на предоставление муниципальных услуг (выполнение работ) на обеспечение доступа пользователей к архивному фонду района (в пределах переданных полномочий) будет обеспечено на 100%.</w:t>
      </w:r>
    </w:p>
    <w:p>
      <w:pPr>
        <w:pStyle w:val="Normal"/>
        <w:ind w:firstLine="709"/>
        <w:rPr>
          <w:rStyle w:val="Style17"/>
          <w:i w:val="false"/>
          <w:i w:val="false"/>
        </w:rPr>
      </w:pPr>
      <w:r>
        <w:rPr/>
        <w:t xml:space="preserve">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Раздел 3 . Характеристика основных мероприятий подпрограммы 7 муниципальной программы</w:t>
      </w:r>
    </w:p>
    <w:p>
      <w:pPr>
        <w:pStyle w:val="Normal"/>
        <w:ind w:firstLine="709"/>
        <w:jc w:val="both"/>
        <w:rPr/>
      </w:pPr>
      <w:r>
        <w:rPr/>
        <w:t xml:space="preserve">Для достижения цели и решения задач подпрограммы 7 муниципальной программы </w:t>
      </w:r>
      <w:r>
        <w:rPr>
          <w:sz w:val="28"/>
          <w:szCs w:val="28"/>
        </w:rPr>
        <w:t xml:space="preserve"> </w:t>
      </w:r>
      <w:r>
        <w:rPr/>
        <w:t>необходимо реализовать ряд основных мероприятий, направленных на реализацию приоритетных направлений развития архивного дела в Никольском  районе.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Основное мероприятие 1: Осуществление отдельных государственных полномочий в сфере архивного дела. </w: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1D1B10"/>
        </w:rPr>
        <w:t xml:space="preserve">Цель мероприятия: </w:t>
      </w:r>
      <w:r>
        <w:rPr/>
        <w:t xml:space="preserve"> Обеспечение нормативных условий хранения, качественного комплектования, учета и эффективного использования архивных документов</w:t>
      </w:r>
      <w:r>
        <w:rPr>
          <w:b/>
          <w:color w:val="FF0000"/>
        </w:rPr>
        <w:t>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Формой реализации  основного мероприятия 1 является целевое использование средств районных средств и субвенции, предоставляемой из областного бюджета на осуществление отдельных государственных полномочий в соответствии с Законом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основного мероприятия 1 предусматривает реализацию следующих направлений:</w:t>
      </w:r>
    </w:p>
    <w:p>
      <w:pPr>
        <w:pStyle w:val="Normal"/>
        <w:rPr>
          <w:szCs w:val="18"/>
        </w:rPr>
      </w:pPr>
      <w:r>
        <w:rPr>
          <w:szCs w:val="18"/>
        </w:rPr>
        <w:t>1.1. Обеспечение деятельности архивного отдела;</w:t>
      </w:r>
    </w:p>
    <w:p>
      <w:pPr>
        <w:pStyle w:val="Normal"/>
        <w:rPr>
          <w:szCs w:val="18"/>
        </w:rPr>
      </w:pPr>
      <w:r>
        <w:rPr>
          <w:szCs w:val="18"/>
        </w:rPr>
        <w:t>1.2.Обеспечение условий хранения архивного фонда Никольского архива;</w:t>
      </w:r>
    </w:p>
    <w:p>
      <w:pPr>
        <w:pStyle w:val="Normal"/>
        <w:rPr>
          <w:szCs w:val="18"/>
        </w:rPr>
      </w:pPr>
      <w:r>
        <w:rPr>
          <w:szCs w:val="18"/>
        </w:rPr>
        <w:t>1.3.Повышение качества и доступности услуг в сфере архивного дела в соответствии с интересами и потребностями общества;</w:t>
      </w:r>
    </w:p>
    <w:p>
      <w:pPr>
        <w:pStyle w:val="Normal"/>
        <w:rPr>
          <w:szCs w:val="18"/>
        </w:rPr>
      </w:pPr>
      <w:r>
        <w:rPr>
          <w:szCs w:val="18"/>
        </w:rPr>
        <w:t>1.4.Укрепление  материально-технической базы муниципального архива;</w:t>
      </w:r>
    </w:p>
    <w:p>
      <w:pPr>
        <w:pStyle w:val="Normal"/>
        <w:rPr>
          <w:sz w:val="18"/>
          <w:szCs w:val="18"/>
        </w:rPr>
      </w:pPr>
      <w:r>
        <w:rPr>
          <w:szCs w:val="18"/>
        </w:rPr>
        <w:t>1.5.Совершенствование условий хранения документов в Никольском муниципальном архиве.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</w:t>
      </w:r>
      <w:r>
        <w:rPr/>
        <w:t>Реализация основного мероприятия обеспечит повышение эффективности комплектования, хранения, учета и использования документов архивного фонда района, повышение уровня безопасности хранения архивных документов в муниципальном архиве района, повышения качества исполнения муниципальных услуг в сфере архивного дела в соответствии с интересами и потребностями общества.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Раздел 4. Финансовое   обеспечение реализации основных мероприятий подпрограммы 7 муниципальной программы за счет средств районного бюджета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Общий объем расходов на реализацию подпрограммы составляет </w:t>
      </w:r>
      <w:r>
        <w:rPr>
          <w:b/>
          <w:bCs/>
          <w:color w:val="000000"/>
        </w:rPr>
        <w:t xml:space="preserve">– </w:t>
      </w:r>
      <w:r>
        <w:rPr>
          <w:bCs/>
          <w:color w:val="000000"/>
        </w:rPr>
        <w:t>8549,6 тыс. руб.,  в том числе по годам реализации:</w:t>
      </w:r>
    </w:p>
    <w:tbl>
      <w:tblPr>
        <w:tblW w:w="10206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9"/>
        <w:gridCol w:w="1664"/>
        <w:gridCol w:w="1794"/>
        <w:gridCol w:w="2033"/>
        <w:gridCol w:w="1560"/>
        <w:gridCol w:w="2125"/>
      </w:tblGrid>
      <w:tr>
        <w:trPr/>
        <w:tc>
          <w:tcPr>
            <w:tcW w:w="1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>
        <w:trPr>
          <w:trHeight w:val="949" w:hRule="atLeast"/>
        </w:trPr>
        <w:tc>
          <w:tcPr>
            <w:tcW w:w="10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>
        <w:trPr>
          <w:trHeight w:val="284" w:hRule="exact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84" w:hRule="exact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1432,3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 xml:space="preserve">           </w:t>
            </w: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84" w:hRule="exact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84" w:hRule="exact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84" w:hRule="exact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84" w:hRule="exact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FontStyle83"/>
                <w:sz w:val="20"/>
                <w:szCs w:val="20"/>
              </w:rPr>
              <w:t xml:space="preserve">           </w:t>
            </w: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7051,1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1498,5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Style w:val="FontStyle83"/>
                <w:b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 xml:space="preserve">Средства о расходах финансового обеспечения на реализацию подпрограммы представлены в приложении 3 к </w:t>
      </w:r>
      <w:r>
        <w:rPr>
          <w:i/>
        </w:rPr>
        <w:t>подпрограмме 7</w:t>
      </w:r>
      <w:r>
        <w:rPr>
          <w:i/>
          <w:color w:val="000000"/>
        </w:rPr>
        <w:t xml:space="preserve"> муниципальной программы. 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Раздел 5. Прогнозная (справочная) оценка объемов привлечения средств областного бюджета,  реализации подпрограммы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Сведения о прогнозной (справочной) оценке объемов привлечения средств областного бюджета, представлены в приложении 4  к подпрограмме 7 муниципальной программы.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Раздел 6. Характеристика мер правового регулирования</w:t>
      </w:r>
    </w:p>
    <w:p>
      <w:pPr>
        <w:pStyle w:val="Normal"/>
        <w:ind w:firstLine="709"/>
        <w:jc w:val="both"/>
        <w:rPr/>
      </w:pPr>
      <w:r>
        <w:rPr/>
        <w:t xml:space="preserve">Принятие нормативных правовых актов, обеспечивающих комплекс организационных и финансовых мер по реализации подпрограммы не планируется.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Раздел 7. Прогноз сводных показателей муниципальных заданий на оказание  муниципальных услуг (выполнение работ) муниципальным учреждениям</w:t>
      </w:r>
    </w:p>
    <w:p>
      <w:pPr>
        <w:pStyle w:val="Normal"/>
        <w:ind w:firstLine="709"/>
        <w:jc w:val="both"/>
        <w:rPr/>
      </w:pPr>
      <w:r>
        <w:rPr/>
        <w:t>Информация о сводных показателях муниципальных заданий на оказание муниципальным учреждением муниципальных услуг физическим и юридическим лицам по годам реализации не  представляется.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Раздел 8. Информация об инвестиционных проектах, реализуемых в рамках подпрограммы </w:t>
      </w:r>
    </w:p>
    <w:p>
      <w:pPr>
        <w:pStyle w:val="Normal"/>
        <w:ind w:firstLine="708"/>
        <w:jc w:val="both"/>
        <w:rPr/>
      </w:pPr>
      <w:r>
        <w:rPr/>
        <w:t>Не планируется реализация инвестиционных проектов в рамках подпрограммы  7 муниципальной программы.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rFonts w:eastAsia="TimesNewRomanPS-BoldMT"/>
          <w:b/>
        </w:rPr>
        <w:t>Раздел 9. Информация об участии в реализации подпрограммы 7 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>
      <w:pPr>
        <w:pStyle w:val="Normal"/>
        <w:jc w:val="both"/>
        <w:rPr/>
      </w:pPr>
      <w:r>
        <w:rPr/>
        <w:t>В реализации подпрограммы 7 муниципальной программы не участвуют организации с государственным и муниципальным участием, общественные, научные и иные организации, внебюджетные фонды.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Раздел 10. Сведения об участии органов местного самоуправления поселений муниципального образования в реализации подпрограммы 7 муниципальной программы</w:t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r>
        <w:rPr/>
        <w:t>Поселения  района не участвуют в основных мероприятиях подпрограммы 7 муниципальной программы.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eastAsia="TimesNewRomanPS-BoldMT"/>
          <w:b/>
          <w:b/>
        </w:rPr>
      </w:pPr>
      <w:r>
        <w:rPr>
          <w:rFonts w:eastAsia="TimesNewRomanPS-BoldMT"/>
          <w:b/>
        </w:rPr>
      </w:r>
    </w:p>
    <w:p>
      <w:pPr>
        <w:pStyle w:val="Normal"/>
        <w:ind w:firstLine="709"/>
        <w:jc w:val="both"/>
        <w:rPr/>
      </w:pP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</w:rPr>
        <w:t xml:space="preserve"> </w:t>
      </w:r>
    </w:p>
    <w:p>
      <w:pPr>
        <w:pStyle w:val="Normal"/>
        <w:ind w:firstLine="709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567" w:header="0" w:top="454" w:footer="0" w:bottom="51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ind w:firstLine="709"/>
        <w:jc w:val="both"/>
        <w:rPr/>
      </w:pPr>
      <w:r>
        <w:rPr/>
      </w:r>
    </w:p>
    <w:p>
      <w:pPr>
        <w:pStyle w:val="Normal"/>
        <w:widowControl w:val="false"/>
        <w:jc w:val="right"/>
        <w:rPr/>
      </w:pPr>
      <w:r>
        <w:rPr>
          <w:b/>
          <w:i/>
        </w:rPr>
        <w:t xml:space="preserve"> </w:t>
      </w:r>
      <w:r>
        <w:rPr/>
        <w:t xml:space="preserve">Приложение 1 </w:t>
      </w:r>
    </w:p>
    <w:p>
      <w:pPr>
        <w:pStyle w:val="Normal"/>
        <w:widowControl w:val="false"/>
        <w:jc w:val="right"/>
        <w:rPr/>
      </w:pPr>
      <w:r>
        <w:rPr/>
        <w:t>к подпрограмме 7 муниципальной программы</w:t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2"/>
        <w:spacing w:lineRule="auto" w:line="240" w:before="0" w:after="0"/>
        <w:jc w:val="center"/>
        <w:rPr>
          <w:rFonts w:ascii="Times New Roman" w:hAnsi="Times New Roman"/>
          <w:i w:val="false"/>
          <w:i w:val="false"/>
          <w:sz w:val="22"/>
          <w:szCs w:val="22"/>
        </w:rPr>
      </w:pPr>
      <w:r>
        <w:rPr>
          <w:rFonts w:ascii="Times New Roman" w:hAnsi="Times New Roman"/>
          <w:i w:val="false"/>
          <w:sz w:val="22"/>
          <w:szCs w:val="22"/>
        </w:rPr>
        <w:t>Информация о показателях (индикаторах) подпрограммы 7 муниципальной программы</w:t>
      </w:r>
    </w:p>
    <w:p>
      <w:pPr>
        <w:pStyle w:val="Normal"/>
        <w:widowControl w:val="false"/>
        <w:jc w:val="center"/>
        <w:rPr>
          <w:caps/>
        </w:rPr>
      </w:pPr>
      <w:r>
        <w:rPr>
          <w:caps/>
        </w:rPr>
      </w:r>
    </w:p>
    <w:p>
      <w:pPr>
        <w:pStyle w:val="Normal"/>
        <w:widowControl w:val="false"/>
        <w:jc w:val="center"/>
        <w:rPr>
          <w:caps/>
        </w:rPr>
      </w:pPr>
      <w:r>
        <w:rPr>
          <w:caps/>
        </w:rPr>
      </w:r>
    </w:p>
    <w:tbl>
      <w:tblPr>
        <w:tblW w:w="1533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2"/>
        <w:gridCol w:w="2409"/>
        <w:gridCol w:w="2268"/>
        <w:gridCol w:w="1184"/>
        <w:gridCol w:w="992"/>
        <w:gridCol w:w="992"/>
        <w:gridCol w:w="1229"/>
        <w:gridCol w:w="1135"/>
        <w:gridCol w:w="1134"/>
        <w:gridCol w:w="1134"/>
        <w:gridCol w:w="1135"/>
        <w:gridCol w:w="1195"/>
      </w:tblGrid>
      <w:tr>
        <w:trPr/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/>
              <w:t xml:space="preserve">задачи, направленные на достижение цели 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/>
              <w:t xml:space="preserve">наименование целевого показателя  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/>
              <w:t>единица измерения</w:t>
            </w:r>
          </w:p>
        </w:tc>
        <w:tc>
          <w:tcPr>
            <w:tcW w:w="89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</w:t>
            </w:r>
            <w:r>
              <w:rPr/>
              <w:t>Значение целевого показателя</w:t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1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год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год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284" w:hRule="exac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</w:tr>
      <w:tr>
        <w:trPr>
          <w:trHeight w:val="2155" w:hRule="exac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Обеспечение нормативных условий хранения, качественного комплектования, учета и эффективного использования архивных документов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708" w:leader="none"/>
              </w:tabs>
              <w:spacing w:before="0" w:after="200"/>
              <w:ind w:left="0" w:hanging="3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96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>
        <w:trPr>
          <w:trHeight w:val="1361" w:hRule="exact"/>
        </w:trPr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Повышение уровня качества и доступности муниципальных услуг в сфере архивного дела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 Среднее число пользователей архивной информацией на 10 тыс. человек района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708" w:leader="none"/>
              </w:tabs>
              <w:spacing w:before="0" w:after="200"/>
              <w:ind w:left="0" w:hanging="3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148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>
        <w:trPr>
          <w:trHeight w:val="2381" w:hRule="exact"/>
        </w:trPr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3.Укрепление материально-технической базы Никольского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плановых показателей на предоставление муниципальных услуг(выполнение работ) на обеспечение доступа пользователей к архивному фонду района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708" w:leader="none"/>
              </w:tabs>
              <w:spacing w:before="0" w:after="200"/>
              <w:ind w:left="0" w:hanging="3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left" w:pos="4253" w:leader="none"/>
        </w:tabs>
        <w:jc w:val="right"/>
        <w:rPr/>
      </w:pPr>
      <w:r>
        <w:rPr/>
        <w:t xml:space="preserve">Приложение 2 </w:t>
      </w:r>
    </w:p>
    <w:p>
      <w:pPr>
        <w:pStyle w:val="Normal"/>
        <w:widowControl w:val="false"/>
        <w:jc w:val="right"/>
        <w:rPr/>
      </w:pPr>
      <w:r>
        <w:rPr/>
        <w:t>к подпрограмме 7 муниципальной программы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СВЕДЕНИЯ 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о порядке сбора информации и методике расчёта целевого показателя подпрограммы 7 муниципальной программы</w:t>
      </w:r>
    </w:p>
    <w:tbl>
      <w:tblPr>
        <w:tblpPr w:bottomFromText="0" w:horzAnchor="text" w:leftFromText="180" w:rightFromText="180" w:tblpX="0" w:tblpY="1" w:topFromText="0" w:vertAnchor="text"/>
        <w:tblW w:w="1542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01"/>
        <w:gridCol w:w="1594"/>
        <w:gridCol w:w="423"/>
        <w:gridCol w:w="1702"/>
        <w:gridCol w:w="1274"/>
        <w:gridCol w:w="1987"/>
        <w:gridCol w:w="2127"/>
        <w:gridCol w:w="1701"/>
        <w:gridCol w:w="1700"/>
        <w:gridCol w:w="1172"/>
        <w:gridCol w:w="1237"/>
      </w:tblGrid>
      <w:tr>
        <w:trPr/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целевого показателя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характеристики целевого показателя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показатели, используемые в формуле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сбора информации, индекс формы отчётности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сбор данных по целевому показателю</w:t>
            </w:r>
          </w:p>
        </w:tc>
      </w:tr>
      <w:tr>
        <w:trPr>
          <w:trHeight w:val="823" w:hRule="atLeast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Доля документов муниципального архива находящихся в нормативных условиях хранения в общем количестве документов муниципального архива.</w:t>
            </w:r>
          </w:p>
        </w:tc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характеризует количество документов муниципального архива, хранящихся в нормативных условиях 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на 1 января года, следующего за отчетным</w:t>
            </w:r>
          </w:p>
        </w:tc>
        <w:tc>
          <w:tcPr>
            <w:tcW w:w="1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М норм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 норм= --------          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М общ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 100          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показатель 1 М норм – количество единиц хранения, хранящихся в муниципальном архиве в нормативных условиях хранения, на отчетную дату  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архив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Сплошное наблюдение 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 Никольского муниципального района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8" w:hRule="exact"/>
        </w:trPr>
        <w:tc>
          <w:tcPr>
            <w:tcW w:w="5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показатель 2 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2" w:hRule="atLeast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число пользователей архивной информацией муниципального архива района на 10 тыс. человек населения района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характеризует среднее число пользователей архивной информацией на 10 тыс. человек населения района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1 января года, следующего за отчетным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Кп x 10000               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сред  = ------------                                                                 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Чн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Базовый показатель 1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 – количество пользователей архивной информацией муниципального архива района;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Чн – численность населения района по данным Росстата на 1 января отчетного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Архивного отдела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архив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 Никольского муниципального района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59" w:hRule="atLeast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плановых показателей на предоставление муниципальных  услуг (выполнение работ) на обеспечение доступа пользователей к архивному  фонду  района,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характеризует степень выполнения плановых показателей на предоставление муниципальных  услуг (выполнение  работ) Архивным  отделом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 1 января года, следующего за отчетным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              </w:t>
            </w:r>
            <w:r>
              <w:rPr>
                <w:rFonts w:cs="Times New Roman" w:ascii="Times New Roman" w:hAnsi="Times New Roman"/>
                <w:lang w:eastAsia="en-US"/>
              </w:rPr>
              <w:t xml:space="preserve">П1+ П2                                                                                  </w:t>
            </w:r>
          </w:p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Вп     = ------------- </w:t>
            </w:r>
          </w:p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              </w:t>
            </w:r>
            <w:r>
              <w:rPr>
                <w:rFonts w:cs="Times New Roman" w:ascii="Times New Roman" w:hAnsi="Times New Roman"/>
                <w:lang w:eastAsia="en-US"/>
              </w:rPr>
              <w:t xml:space="preserve">П1п+П2п  </w:t>
            </w:r>
          </w:p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x 100</w:t>
            </w:r>
          </w:p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                </w:t>
            </w:r>
          </w:p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Базовый показатель 1</w:t>
            </w:r>
          </w:p>
          <w:p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П1+ П2….. –  сумма значений </w:t>
            </w:r>
          </w:p>
          <w:p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фактически предоставленных  муниципальных услуг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П1п + П2п….. -  сумма значений плановых показателей муниципальных услуг на обеспечение доступа пользователей к архивному  фонду  района, области (в пределах переданных полномочий)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отчетность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Архивного отдела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архив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 Никольского муниципального района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  <w:t xml:space="preserve">Приложение 3  </w:t>
      </w:r>
    </w:p>
    <w:p>
      <w:pPr>
        <w:pStyle w:val="Normal"/>
        <w:widowControl w:val="false"/>
        <w:jc w:val="right"/>
        <w:rPr/>
      </w:pPr>
      <w:r>
        <w:rPr/>
        <w:t>к подпрограмме 7 муниципальной программы</w:t>
      </w:r>
    </w:p>
    <w:p>
      <w:pPr>
        <w:pStyle w:val="Normal"/>
        <w:jc w:val="right"/>
        <w:rPr/>
      </w:pPr>
      <w:r>
        <w:rPr/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ФИНАНСОВОЕ ОБЕСПЕЧЕНИЕ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подпрограммы 7 муниципальной программы </w:t>
      </w:r>
    </w:p>
    <w:tbl>
      <w:tblPr>
        <w:tblW w:w="15153" w:type="dxa"/>
        <w:jc w:val="left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4a0"/>
      </w:tblPr>
      <w:tblGrid>
        <w:gridCol w:w="1851"/>
        <w:gridCol w:w="1359"/>
        <w:gridCol w:w="1429"/>
        <w:gridCol w:w="1605"/>
        <w:gridCol w:w="2622"/>
        <w:gridCol w:w="836"/>
        <w:gridCol w:w="836"/>
        <w:gridCol w:w="837"/>
        <w:gridCol w:w="836"/>
        <w:gridCol w:w="837"/>
        <w:gridCol w:w="836"/>
        <w:gridCol w:w="1268"/>
      </w:tblGrid>
      <w:tr>
        <w:trPr>
          <w:trHeight w:val="313" w:hRule="atLeast"/>
        </w:trPr>
        <w:tc>
          <w:tcPr>
            <w:tcW w:w="1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right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ведомственной целевой программы, основного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4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160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286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(тыс.руб.)</w:t>
            </w:r>
          </w:p>
        </w:tc>
      </w:tr>
      <w:tr>
        <w:trPr/>
        <w:tc>
          <w:tcPr>
            <w:tcW w:w="1851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  <w:tc>
          <w:tcPr>
            <w:tcW w:w="2622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18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7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архивного дела  Никольского муниципального»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Целевой показатель 1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1732,0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8549,6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1432,3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7051,1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1498,5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09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 1   </w:t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администрация Никольского муниципального района (архивный отдел)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1732,0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8549,6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1432,3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7051,1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1498,5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2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51" w:hRule="exact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Обеспечение деятельности архивного отдела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1  </w:t>
            </w:r>
            <w:r>
              <w:rPr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bookmarkStart w:id="5" w:name="_GoBack"/>
            <w:bookmarkEnd w:id="5"/>
            <w:r>
              <w:rPr>
                <w:b/>
                <w:sz w:val="18"/>
                <w:szCs w:val="18"/>
              </w:rPr>
              <w:t>1485,8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7415,0</w:t>
            </w:r>
          </w:p>
        </w:tc>
      </w:tr>
      <w:tr>
        <w:trPr>
          <w:trHeight w:val="856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6575,0</w:t>
            </w:r>
          </w:p>
        </w:tc>
      </w:tr>
      <w:tr>
        <w:trPr>
          <w:trHeight w:val="564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840,0</w:t>
            </w:r>
          </w:p>
        </w:tc>
      </w:tr>
      <w:tr>
        <w:trPr>
          <w:trHeight w:val="417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43" w:hRule="exact"/>
        </w:trPr>
        <w:tc>
          <w:tcPr>
            <w:tcW w:w="1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1.2. </w:t>
            </w:r>
            <w:r>
              <w:rPr>
                <w:sz w:val="18"/>
                <w:szCs w:val="18"/>
              </w:rPr>
              <w:t>Обеспечение условий хранения архивного фонда Никольского архива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 </w:t>
            </w:r>
            <w:r>
              <w:rPr>
                <w:sz w:val="18"/>
                <w:szCs w:val="18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688,0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476,1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211,9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87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  <w:r>
              <w:rPr>
                <w:sz w:val="18"/>
                <w:szCs w:val="18"/>
              </w:rPr>
              <w:t>2 Среднее число пользователей архивной информацией на 10 тыс. человек района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1.4.Укрепление  материально-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 базы муниципального архива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270,0</w:t>
            </w:r>
          </w:p>
        </w:tc>
      </w:tr>
      <w:tr>
        <w:trPr>
          <w:trHeight w:val="485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270,0</w:t>
            </w:r>
          </w:p>
        </w:tc>
      </w:tr>
      <w:tr>
        <w:trPr>
          <w:trHeight w:val="459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65" w:hRule="exact"/>
        </w:trPr>
        <w:tc>
          <w:tcPr>
            <w:tcW w:w="1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1.5.Совершенствование условий хранения документов в Никольском муниципальном архиве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136,6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136,6</w:t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318" w:hRule="exact"/>
        </w:trPr>
        <w:tc>
          <w:tcPr>
            <w:tcW w:w="1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4 </w:t>
      </w:r>
    </w:p>
    <w:p>
      <w:pPr>
        <w:pStyle w:val="Normal"/>
        <w:widowControl w:val="false"/>
        <w:jc w:val="right"/>
        <w:rPr/>
      </w:pPr>
      <w:r>
        <w:rPr/>
        <w:t>к подпрограмме 7 муниципальной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ПРОГНОЗНАЯ (СПРАВОЧНАЯ) ОЦЕНКА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7 муниципальной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78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49"/>
        <w:gridCol w:w="1897"/>
        <w:gridCol w:w="1918"/>
        <w:gridCol w:w="1699"/>
        <w:gridCol w:w="1697"/>
        <w:gridCol w:w="1699"/>
        <w:gridCol w:w="1570"/>
        <w:gridCol w:w="1655"/>
      </w:tblGrid>
      <w:tr>
        <w:trPr>
          <w:trHeight w:val="567" w:hRule="exact"/>
        </w:trPr>
        <w:tc>
          <w:tcPr>
            <w:tcW w:w="2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12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Оценка расходов (тыс.руб.)</w:t>
            </w:r>
          </w:p>
        </w:tc>
      </w:tr>
      <w:tr>
        <w:trPr>
          <w:trHeight w:val="451" w:hRule="exact"/>
        </w:trPr>
        <w:tc>
          <w:tcPr>
            <w:tcW w:w="26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>
        <w:trPr>
          <w:trHeight w:val="567" w:hRule="exac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  <w:t>1498,5</w:t>
            </w:r>
          </w:p>
        </w:tc>
      </w:tr>
      <w:tr>
        <w:trPr>
          <w:trHeight w:val="567" w:hRule="exac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Средства областного бюджета &lt;*&gt;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299,7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1498,5</w:t>
            </w:r>
          </w:p>
        </w:tc>
      </w:tr>
      <w:tr>
        <w:trPr>
          <w:trHeight w:val="567" w:hRule="exac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Средства федерального бюджета &lt;*&gt;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Бюджеты поселений &lt;**&gt;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255" w:hRule="exac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Безвозмездные поступления от физических и юридических лиц 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2" w:hRule="exac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Cs w:val="18"/>
              </w:rPr>
              <w:t>Внебюджетные средства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/>
        <w:t xml:space="preserve">&lt;*&gt; </w:t>
      </w:r>
      <w:r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>
      <w:pPr>
        <w:pStyle w:val="Normal"/>
        <w:rPr/>
      </w:pPr>
      <w:r>
        <w:rPr/>
        <w:t xml:space="preserve">&lt;**&gt; </w:t>
      </w:r>
      <w:r>
        <w:rPr>
          <w:i/>
        </w:rPr>
        <w:t>Сведения приводятся для муниципальных программ в случае участия поселений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567" w:header="0" w:top="567" w:footer="0" w:bottom="24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64" w:hanging="1155"/>
      </w:pPr>
    </w:lvl>
    <w:lvl w:ilvl="2">
      <w:start w:val="1"/>
      <w:numFmt w:val="decimal"/>
      <w:lvlText w:val="%1.%2.%3."/>
      <w:lvlJc w:val="left"/>
      <w:pPr>
        <w:ind w:left="2213" w:hanging="1155"/>
      </w:pPr>
    </w:lvl>
    <w:lvl w:ilvl="3">
      <w:start w:val="1"/>
      <w:numFmt w:val="decimal"/>
      <w:lvlText w:val="%1.%2.%3.%4."/>
      <w:lvlJc w:val="left"/>
      <w:pPr>
        <w:ind w:left="2562" w:hanging="1155"/>
      </w:pPr>
    </w:lvl>
    <w:lvl w:ilvl="4">
      <w:start w:val="1"/>
      <w:numFmt w:val="decimal"/>
      <w:lvlText w:val="%1.%2.%3.%4.%5."/>
      <w:lvlJc w:val="left"/>
      <w:pPr>
        <w:ind w:left="2911" w:hanging="1155"/>
      </w:pPr>
    </w:lvl>
    <w:lvl w:ilvl="5">
      <w:start w:val="1"/>
      <w:numFmt w:val="decimal"/>
      <w:lvlText w:val="%1.%2.%3.%4.%5.%6."/>
      <w:lvlJc w:val="left"/>
      <w:pPr>
        <w:ind w:left="3260" w:hanging="1155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34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8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564536"/>
    <w:pPr>
      <w:keepNext/>
      <w:spacing w:lineRule="auto" w:line="276"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Заголовок 2"/>
    <w:basedOn w:val="Normal"/>
    <w:link w:val="20"/>
    <w:uiPriority w:val="9"/>
    <w:unhideWhenUsed/>
    <w:qFormat/>
    <w:rsid w:val="00564536"/>
    <w:pPr>
      <w:keepNext/>
      <w:spacing w:lineRule="auto" w:line="276"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Заголовок 3"/>
    <w:basedOn w:val="Normal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4"/>
    <w:qFormat/>
    <w:rsid w:val="00564828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564828"/>
    <w:rPr>
      <w:rFonts w:ascii="Tahoma" w:hAnsi="Tahoma" w:eastAsia="Times New Roman" w:cs="Tahoma"/>
      <w:sz w:val="16"/>
      <w:szCs w:val="16"/>
      <w:lang w:eastAsia="ru-RU"/>
    </w:rPr>
  </w:style>
  <w:style w:type="character" w:styleId="FontStyle83" w:customStyle="1">
    <w:name w:val="Font Style83"/>
    <w:qFormat/>
    <w:rsid w:val="00f62178"/>
    <w:rPr>
      <w:rFonts w:ascii="Times New Roman" w:hAnsi="Times New Roman" w:cs="Times New Roman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64536"/>
    <w:rPr>
      <w:rFonts w:ascii="Cambria" w:hAnsi="Cambria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6453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564536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3">
    <w:name w:val="Интернет-ссылка"/>
    <w:unhideWhenUsed/>
    <w:rsid w:val="00564536"/>
    <w:rPr>
      <w:color w:val="5292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64536"/>
    <w:rPr>
      <w:color w:val="800080" w:themeColor="followed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564536"/>
    <w:rPr>
      <w:rFonts w:ascii="Courier New" w:hAnsi="Courier New" w:eastAsia="Times New Roman" w:cs="Times New Roman"/>
      <w:sz w:val="20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link w:val="ae"/>
    <w:qFormat/>
    <w:locked/>
    <w:rsid w:val="00564536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f0"/>
    <w:uiPriority w:val="99"/>
    <w:qFormat/>
    <w:locked/>
    <w:rsid w:val="00564536"/>
    <w:rPr>
      <w:rFonts w:ascii="Calibri" w:hAnsi="Calibri" w:eastAsia="Calibri" w:cs="Times New Roman"/>
    </w:rPr>
  </w:style>
  <w:style w:type="character" w:styleId="Style16" w:customStyle="1">
    <w:name w:val="Абзац списка Знак"/>
    <w:link w:val="a8"/>
    <w:uiPriority w:val="34"/>
    <w:qFormat/>
    <w:locked/>
    <w:rsid w:val="005645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unhideWhenUsed/>
    <w:qFormat/>
    <w:rsid w:val="00564536"/>
    <w:rPr>
      <w:rFonts w:ascii="Times New Roman" w:hAnsi="Times New Roman" w:cs="Times New Roman"/>
    </w:rPr>
  </w:style>
  <w:style w:type="character" w:styleId="FontStyle13" w:customStyle="1">
    <w:name w:val="Font Style13"/>
    <w:qFormat/>
    <w:rsid w:val="00564536"/>
    <w:rPr>
      <w:rFonts w:ascii="Arial" w:hAnsi="Arial" w:cs="Arial"/>
      <w:sz w:val="18"/>
    </w:rPr>
  </w:style>
  <w:style w:type="character" w:styleId="FontStyle87" w:customStyle="1">
    <w:name w:val="Font Style87"/>
    <w:qFormat/>
    <w:rsid w:val="00564536"/>
    <w:rPr>
      <w:rFonts w:ascii="Times New Roman" w:hAnsi="Times New Roman" w:cs="Times New Roman"/>
      <w:b/>
      <w:bCs/>
      <w:sz w:val="26"/>
      <w:szCs w:val="26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5645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5645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4" w:customStyle="1">
    <w:name w:val="Font Style14"/>
    <w:qFormat/>
    <w:rsid w:val="00564536"/>
    <w:rPr>
      <w:rFonts w:ascii="Franklin Gothic Heavy" w:hAnsi="Franklin Gothic Heavy" w:cs="Franklin Gothic Heavy"/>
      <w:sz w:val="16"/>
      <w:szCs w:val="16"/>
    </w:rPr>
  </w:style>
  <w:style w:type="character" w:styleId="14" w:customStyle="1">
    <w:name w:val="Основной текст Знак1"/>
    <w:basedOn w:val="DefaultParagraphFont"/>
    <w:semiHidden/>
    <w:qFormat/>
    <w:rsid w:val="00564536"/>
    <w:rPr>
      <w:rFonts w:ascii="Calibri" w:hAnsi="Calibri" w:eastAsia="Calibri" w:cs="Times New Roman"/>
    </w:rPr>
  </w:style>
  <w:style w:type="character" w:styleId="15" w:customStyle="1">
    <w:name w:val="Текст выноски Знак1"/>
    <w:basedOn w:val="DefaultParagraphFont"/>
    <w:uiPriority w:val="99"/>
    <w:semiHidden/>
    <w:qFormat/>
    <w:rsid w:val="00564536"/>
    <w:rPr>
      <w:rFonts w:ascii="Tahoma" w:hAnsi="Tahoma" w:eastAsia="Calibri" w:cs="Tahoma"/>
      <w:sz w:val="16"/>
      <w:szCs w:val="16"/>
    </w:rPr>
  </w:style>
  <w:style w:type="character" w:styleId="Style17">
    <w:name w:val="Выделение"/>
    <w:basedOn w:val="DefaultParagraphFont"/>
    <w:qFormat/>
    <w:rsid w:val="00564536"/>
    <w:rPr>
      <w:i/>
      <w:iCs/>
    </w:rPr>
  </w:style>
  <w:style w:type="character" w:styleId="Style18" w:customStyle="1">
    <w:name w:val="Название Знак"/>
    <w:basedOn w:val="DefaultParagraphFont"/>
    <w:link w:val="af6"/>
    <w:qFormat/>
    <w:rsid w:val="001551a0"/>
    <w:rPr>
      <w:rFonts w:ascii="Times New Roman" w:hAnsi="Times New Roman" w:eastAsia="Times New Roman" w:cs="Times New Roman"/>
      <w:b/>
      <w:color w:val="000000"/>
      <w:sz w:val="24"/>
      <w:szCs w:val="20"/>
      <w:lang w:val="en-US"/>
    </w:rPr>
  </w:style>
  <w:style w:type="character" w:styleId="Extendedtextfull" w:customStyle="1">
    <w:name w:val="extended-text__full"/>
    <w:basedOn w:val="DefaultParagraphFont"/>
    <w:qFormat/>
    <w:rsid w:val="001551a0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5"/>
    <w:rsid w:val="00564828"/>
    <w:pPr>
      <w:jc w:val="center"/>
    </w:pPr>
    <w:rPr>
      <w:b/>
      <w:bCs/>
      <w:spacing w:val="120"/>
      <w:sz w:val="32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64828"/>
    <w:pPr/>
    <w:rPr>
      <w:rFonts w:ascii="Tahoma" w:hAnsi="Tahoma" w:cs="Tahoma"/>
      <w:sz w:val="16"/>
      <w:szCs w:val="16"/>
    </w:rPr>
  </w:style>
  <w:style w:type="paragraph" w:styleId="Style49" w:customStyle="1">
    <w:name w:val="Style49"/>
    <w:basedOn w:val="Normal"/>
    <w:qFormat/>
    <w:rsid w:val="00a71b72"/>
    <w:pPr>
      <w:widowControl w:val="false"/>
    </w:pPr>
    <w:rPr/>
  </w:style>
  <w:style w:type="paragraph" w:styleId="ListParagraph">
    <w:name w:val="List Paragraph"/>
    <w:basedOn w:val="Normal"/>
    <w:link w:val="a9"/>
    <w:uiPriority w:val="34"/>
    <w:qFormat/>
    <w:rsid w:val="0080583b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nhideWhenUsed/>
    <w:qFormat/>
    <w:rsid w:val="0056453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/>
      <w:sz w:val="20"/>
      <w:szCs w:val="20"/>
      <w:lang w:eastAsia="ar-SA"/>
    </w:rPr>
  </w:style>
  <w:style w:type="paragraph" w:styleId="NormalWeb">
    <w:name w:val="Normal (Web)"/>
    <w:basedOn w:val="Normal"/>
    <w:uiPriority w:val="34"/>
    <w:unhideWhenUsed/>
    <w:qFormat/>
    <w:rsid w:val="0056453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564536"/>
    <w:pPr>
      <w:widowControl w:val="false"/>
      <w:bidi w:val="0"/>
      <w:spacing w:lineRule="auto" w:line="240" w:before="0" w:after="0"/>
      <w:contextualSpacing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564536"/>
    <w:pPr>
      <w:widowControl w:val="false"/>
      <w:bidi w:val="0"/>
      <w:spacing w:lineRule="auto" w:line="240" w:before="0" w:after="0"/>
      <w:contextualSpacing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30" w:customStyle="1">
    <w:name w:val="Style30"/>
    <w:basedOn w:val="Normal"/>
    <w:qFormat/>
    <w:rsid w:val="00564536"/>
    <w:pPr>
      <w:widowControl w:val="false"/>
      <w:spacing w:lineRule="exact" w:line="322" w:before="0" w:after="0"/>
      <w:contextualSpacing/>
      <w:jc w:val="both"/>
    </w:pPr>
    <w:rPr/>
  </w:style>
  <w:style w:type="paragraph" w:styleId="Style62" w:customStyle="1">
    <w:name w:val="Style62"/>
    <w:basedOn w:val="Normal"/>
    <w:qFormat/>
    <w:rsid w:val="00564536"/>
    <w:pPr>
      <w:widowControl w:val="false"/>
      <w:spacing w:lineRule="exact" w:line="322" w:before="0" w:after="0"/>
      <w:contextualSpacing/>
    </w:pPr>
    <w:rPr>
      <w:rFonts w:ascii="Times New Roman CYR" w:hAnsi="Times New Roman CYR" w:cs="Times New Roman CYR"/>
    </w:rPr>
  </w:style>
  <w:style w:type="paragraph" w:styleId="Style42" w:customStyle="1">
    <w:name w:val="Style42"/>
    <w:basedOn w:val="Normal"/>
    <w:qFormat/>
    <w:rsid w:val="00564536"/>
    <w:pPr>
      <w:widowControl w:val="false"/>
      <w:spacing w:lineRule="exact" w:line="322" w:before="0" w:after="0"/>
      <w:contextualSpacing/>
      <w:jc w:val="both"/>
    </w:pPr>
    <w:rPr/>
  </w:style>
  <w:style w:type="paragraph" w:styleId="ConsPlusNonformat" w:customStyle="1">
    <w:name w:val="ConsPlusNonformat"/>
    <w:qFormat/>
    <w:rsid w:val="00564536"/>
    <w:pPr>
      <w:widowControl/>
      <w:bidi w:val="0"/>
      <w:spacing w:lineRule="auto" w:line="240" w:before="0" w:after="0"/>
      <w:contextualSpacing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91" w:customStyle="1">
    <w:name w:val="Style9"/>
    <w:basedOn w:val="Normal"/>
    <w:qFormat/>
    <w:rsid w:val="00564536"/>
    <w:pPr>
      <w:widowControl w:val="false"/>
      <w:spacing w:lineRule="exact" w:line="331" w:before="0" w:after="0"/>
      <w:ind w:hanging="134"/>
      <w:contextualSpacing/>
    </w:pPr>
    <w:rPr/>
  </w:style>
  <w:style w:type="paragraph" w:styleId="Default" w:customStyle="1">
    <w:name w:val="Default"/>
    <w:qFormat/>
    <w:rsid w:val="00564536"/>
    <w:pPr>
      <w:widowControl/>
      <w:bidi w:val="0"/>
      <w:spacing w:lineRule="auto" w:line="240" w:before="0" w:after="0"/>
      <w:contextualSpacing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16" w:customStyle="1">
    <w:name w:val="Обычный1"/>
    <w:qFormat/>
    <w:rsid w:val="00564536"/>
    <w:pPr>
      <w:widowControl/>
      <w:suppressAutoHyphens w:val="true"/>
      <w:bidi w:val="0"/>
      <w:spacing w:lineRule="auto" w:line="240" w:before="0" w:after="0"/>
      <w:contextualSpacing/>
      <w:jc w:val="left"/>
    </w:pPr>
    <w:rPr>
      <w:rFonts w:ascii="Times New Roman" w:hAnsi="Times New Roman" w:eastAsia="Arial" w:cs="Times New Roman"/>
      <w:color w:val="000000"/>
      <w:sz w:val="24"/>
      <w:szCs w:val="24"/>
      <w:lang w:eastAsia="ar-SA" w:val="ru-RU" w:bidi="ar-SA"/>
    </w:rPr>
  </w:style>
  <w:style w:type="paragraph" w:styleId="Style24" w:customStyle="1">
    <w:name w:val="Содержимое таблицы"/>
    <w:basedOn w:val="Normal"/>
    <w:qFormat/>
    <w:rsid w:val="00564536"/>
    <w:pPr>
      <w:suppressLineNumbers/>
      <w:suppressAutoHyphens w:val="true"/>
      <w:spacing w:lineRule="auto" w:line="276" w:before="0" w:after="200"/>
      <w:contextualSpacing/>
    </w:pPr>
    <w:rPr>
      <w:rFonts w:ascii="Calibri" w:hAnsi="Calibri" w:eastAsia="Arial Unicode MS" w:cs="Tahoma"/>
      <w:sz w:val="22"/>
      <w:szCs w:val="22"/>
      <w:lang w:eastAsia="ar-SA"/>
    </w:rPr>
  </w:style>
  <w:style w:type="paragraph" w:styleId="111" w:customStyle="1">
    <w:name w:val="Обычный11"/>
    <w:qFormat/>
    <w:rsid w:val="00564536"/>
    <w:pPr>
      <w:widowControl/>
      <w:suppressAutoHyphens w:val="true"/>
      <w:bidi w:val="0"/>
      <w:spacing w:lineRule="auto" w:line="240" w:before="0" w:after="0"/>
      <w:contextualSpacing/>
      <w:jc w:val="left"/>
    </w:pPr>
    <w:rPr>
      <w:rFonts w:ascii="Times New Roman" w:hAnsi="Times New Roman" w:eastAsia="Arial" w:cs="Times New Roman"/>
      <w:color w:val="000000"/>
      <w:sz w:val="24"/>
      <w:szCs w:val="24"/>
      <w:lang w:eastAsia="ar-SA" w:val="ru-RU" w:bidi="ar-SA"/>
    </w:rPr>
  </w:style>
  <w:style w:type="paragraph" w:styleId="Style25">
    <w:name w:val="Верхний колонтитул"/>
    <w:basedOn w:val="Normal"/>
    <w:link w:val="ad"/>
    <w:unhideWhenUsed/>
    <w:rsid w:val="00564536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Нижний колонтитул"/>
    <w:basedOn w:val="Normal"/>
    <w:link w:val="af"/>
    <w:uiPriority w:val="99"/>
    <w:unhideWhenUsed/>
    <w:rsid w:val="00564536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564536"/>
    <w:pPr>
      <w:spacing w:lineRule="auto" w:line="276" w:before="0" w:after="20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5721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paragraph" w:styleId="Style27">
    <w:name w:val="Заглавие"/>
    <w:basedOn w:val="Normal"/>
    <w:link w:val="af7"/>
    <w:qFormat/>
    <w:rsid w:val="001551a0"/>
    <w:pPr>
      <w:jc w:val="center"/>
    </w:pPr>
    <w:rPr>
      <w:b/>
      <w:color w:val="000000"/>
      <w:szCs w:val="20"/>
      <w:lang w:val="en-US" w:eastAsia="en-US"/>
    </w:rPr>
  </w:style>
  <w:style w:type="paragraph" w:styleId="17" w:customStyle="1">
    <w:name w:val="Без интервала1"/>
    <w:uiPriority w:val="1"/>
    <w:qFormat/>
    <w:rsid w:val="001551a0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val="en-US" w:eastAsia="zh-CN" w:bidi="ar-SA"/>
    </w:rPr>
  </w:style>
  <w:style w:type="paragraph" w:styleId="18" w:customStyle="1">
    <w:name w:val="Абзац списка1"/>
    <w:basedOn w:val="Normal"/>
    <w:uiPriority w:val="34"/>
    <w:qFormat/>
    <w:rsid w:val="001551a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76FB-6B28-4A19-86C2-FF49E1A3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Application>LibreOffice/5.0.6.3$Windows_x86 LibreOffice_project/490fc03b25318460cfc54456516ea2519c11d1aa</Application>
  <Paragraphs>2515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2019-03-14T09:33:00Z</dcterms:created>
  <dc:creator>RePack by SPecialiST</dc:creator>
  <dc:language>ru-RU</dc:language>
  <cp:lastPrinted>2021-04-19T14:02:00Z</cp:lastPrinted>
  <dcterms:modified xsi:type="dcterms:W3CDTF">2021-04-30T09:12:09Z</dcterms:modified>
  <cp:revision>332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