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901299" w:rsidRPr="0090129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</w:t>
      </w:r>
      <w:proofErr w:type="gramEnd"/>
      <w:r w:rsidR="00901299" w:rsidRPr="00901299">
        <w:rPr>
          <w:rFonts w:ascii="Times New Roman" w:hAnsi="Times New Roman" w:cs="Times New Roman"/>
          <w:sz w:val="26"/>
          <w:szCs w:val="26"/>
        </w:rPr>
        <w:t xml:space="preserve"> в документах аэронавигационной информации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01299" w:rsidRPr="00901299" w:rsidRDefault="00965606" w:rsidP="0090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901299" w:rsidRPr="0090129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</w:t>
      </w:r>
      <w:proofErr w:type="gramEnd"/>
      <w:r w:rsidR="00901299" w:rsidRPr="009012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299" w:rsidRPr="0090129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 аэронавигационной информации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01299" w:rsidRPr="00901299">
        <w:rPr>
          <w:rFonts w:ascii="Times New Roman" w:hAnsi="Times New Roman"/>
          <w:spacing w:val="-4"/>
          <w:sz w:val="26"/>
          <w:szCs w:val="26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</w:t>
      </w:r>
      <w:proofErr w:type="gramEnd"/>
      <w:r w:rsidR="00901299" w:rsidRPr="00901299">
        <w:rPr>
          <w:rFonts w:ascii="Times New Roman" w:hAnsi="Times New Roman"/>
          <w:spacing w:val="-4"/>
          <w:sz w:val="26"/>
          <w:szCs w:val="26"/>
        </w:rPr>
        <w:t xml:space="preserve"> в границах населенных пунктов площадки, сведения о которых не опубликованы в документах аэронавигационной информации</w:t>
      </w:r>
      <w:r w:rsidR="00901299">
        <w:rPr>
          <w:rFonts w:ascii="Times New Roman" w:hAnsi="Times New Roman"/>
          <w:spacing w:val="-4"/>
          <w:sz w:val="26"/>
          <w:szCs w:val="26"/>
        </w:rPr>
        <w:t>.</w:t>
      </w:r>
      <w:r w:rsidR="00901299" w:rsidRPr="00901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 w:rsidR="00901299" w:rsidRPr="00901299">
        <w:rPr>
          <w:rFonts w:ascii="Times New Roman" w:eastAsia="Times New Roman" w:hAnsi="Times New Roman" w:cs="Times New Roman"/>
          <w:color w:val="000000"/>
          <w:sz w:val="28"/>
          <w:szCs w:val="20"/>
        </w:rPr>
        <w:t>Действие настоящего административного регламента распространяется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территорией Никольского муниципального района, а также на посадку (взлет) на площадки, расположенные в границах Никольского муниципального района, сведения о которых не опубликованы в документах</w:t>
      </w:r>
      <w:proofErr w:type="gramEnd"/>
      <w:r w:rsidR="00901299" w:rsidRPr="00901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аэронавигационной информации, полномочия по выдаче разрешений на которые в соответствии с федеральным законодательством возложены на органы местного самоуправления.</w:t>
      </w:r>
    </w:p>
    <w:p w:rsidR="00901299" w:rsidRPr="00901299" w:rsidRDefault="00901299" w:rsidP="009012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01299">
        <w:rPr>
          <w:rFonts w:ascii="Times New Roman" w:eastAsia="Times New Roman" w:hAnsi="Times New Roman" w:cs="Times New Roman"/>
          <w:color w:val="000000"/>
          <w:sz w:val="28"/>
          <w:szCs w:val="20"/>
        </w:rPr>
        <w:t>Административный регламент не распространяется на случаи осуществления мероприятий Министерством обороны Российской Федерации, а также случаи осуществления иных мероприятий по спасению жизни и охране здоровья людей, пресечению и раскрытию преступлений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2526BE">
        <w:rPr>
          <w:rFonts w:ascii="Times New Roman" w:hAnsi="Times New Roman" w:cs="Times New Roman"/>
          <w:sz w:val="26"/>
          <w:szCs w:val="26"/>
        </w:rPr>
        <w:t>12.04.2022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2526BE">
        <w:rPr>
          <w:rFonts w:ascii="Times New Roman" w:hAnsi="Times New Roman" w:cs="Times New Roman"/>
          <w:sz w:val="26"/>
          <w:szCs w:val="26"/>
        </w:rPr>
        <w:t>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01299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10</cp:revision>
  <cp:lastPrinted>2022-12-19T11:19:00Z</cp:lastPrinted>
  <dcterms:created xsi:type="dcterms:W3CDTF">2022-05-11T12:00:00Z</dcterms:created>
  <dcterms:modified xsi:type="dcterms:W3CDTF">2022-12-19T11:19:00Z</dcterms:modified>
</cp:coreProperties>
</file>