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BD" w:rsidRDefault="00D322BD" w:rsidP="00D322B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D322BD" w:rsidRDefault="00D322BD" w:rsidP="00D322BD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381DB2BE" wp14:editId="665EF3F2">
            <wp:extent cx="666750" cy="800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7" t="-134" r="-157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BD" w:rsidRDefault="00D322BD" w:rsidP="00D322BD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:rsidR="00D322BD" w:rsidRDefault="00D322BD" w:rsidP="00D322B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</w:p>
    <w:p w:rsidR="00D322BD" w:rsidRDefault="00D322BD" w:rsidP="00D322BD">
      <w:pPr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муниципальную</w:t>
      </w:r>
      <w:proofErr w:type="gramEnd"/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программу «Реализация молодежной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политики </w:t>
      </w: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территории Никольского муниципального </w:t>
      </w: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района на 2020-2025 годы»,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постановлением</w:t>
      </w: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Никольского муниципального района</w:t>
      </w: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05.08.2019 №757</w:t>
      </w: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 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 № 102, администрация Никольского муниципального района.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ПОСТАНОВЛЯЕТ: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№757 (далее - муниципальная программа) следующие изменения: 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1.1. Паспорт муниципальной программы, разделы 1-9 муниципальной  программы изложить в новой редакции согласно приложению 1 к настоящему постановлению</w:t>
      </w:r>
      <w:proofErr w:type="gram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.</w:t>
      </w:r>
      <w:proofErr w:type="gramEnd"/>
    </w:p>
    <w:p w:rsidR="00EA749E" w:rsidRPr="00EA749E" w:rsidRDefault="009125BD" w:rsidP="00EA7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1.2. Раздел 3 муниципальной программы изложить в ново</w:t>
      </w:r>
      <w:r w:rsidR="00EA749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й редакции:</w:t>
      </w:r>
    </w:p>
    <w:p w:rsidR="00EA749E" w:rsidRPr="00EA749E" w:rsidRDefault="00EA749E" w:rsidP="00EA749E">
      <w:pPr>
        <w:tabs>
          <w:tab w:val="left" w:pos="-2520"/>
          <w:tab w:val="left" w:pos="0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Объем средств районного бюджета, необходимых для реализации муниципальной программы, составляет </w:t>
      </w:r>
      <w:r w:rsidRPr="00EA749E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2222,8  </w:t>
      </w: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рублей, в том числе по годам: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2020 год – 201,1 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2021 год - 290,0 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2022 год – </w:t>
      </w:r>
      <w:r w:rsidRPr="00EA749E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441,7 </w:t>
      </w: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2023 год – 430,0 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2024 год – 430,0 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2025 год – 430,0 тыс. рублей</w:t>
      </w:r>
    </w:p>
    <w:p w:rsidR="00EA749E" w:rsidRPr="00EA749E" w:rsidRDefault="00EA749E" w:rsidP="00EA749E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</w:t>
      </w:r>
    </w:p>
    <w:p w:rsidR="00EA749E" w:rsidRPr="00EA749E" w:rsidRDefault="00EA749E" w:rsidP="00EA749E">
      <w:pPr>
        <w:tabs>
          <w:tab w:val="left" w:pos="851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>Сведения о расходах районного бюджета на реализацию муниципальной программы</w:t>
      </w:r>
      <w:r w:rsidRPr="00EA749E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</w:t>
      </w:r>
      <w:r w:rsidRPr="00EA749E"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представлены в приложении 3 к муниципальной программе.</w:t>
      </w:r>
    </w:p>
    <w:p w:rsidR="00EA749E" w:rsidRPr="00EA749E" w:rsidRDefault="00EA749E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Default="009125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1.3</w:t>
      </w:r>
      <w:r w:rsidR="00D322B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. 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2 к настоящему постановлению.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2.    Признать утратившим силу постановление администрации Никольского муниципального района от 21.11.2022 года № 1063 « О внесении изменений в муниципальную программу «Реализация молодежной политики на территории Никольского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lastRenderedPageBreak/>
        <w:t>муниципального района на 2020-2025 годы», утвержденную постановлением администрации Никольского муниципального района от 05.08.2019 № 757»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3.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</w:t>
      </w:r>
      <w:r w:rsidR="0059305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оммуникационной сети «Интернет» и распространяется на правоотношения</w:t>
      </w:r>
      <w:proofErr w:type="gramStart"/>
      <w:r w:rsidR="0059305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,</w:t>
      </w:r>
      <w:proofErr w:type="gramEnd"/>
      <w:r w:rsidR="0059305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возникшие с 28.12.2022 года.</w:t>
      </w: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Руководитель администрации</w:t>
      </w:r>
    </w:p>
    <w:p w:rsidR="00D322BD" w:rsidRDefault="00D322BD" w:rsidP="00D322B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Никольского муниципального района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Баданина</w:t>
      </w:r>
      <w:proofErr w:type="spellEnd"/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br w:type="page"/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zh-C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Приложение 1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Никольского   муниципального района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Приложение 1 к постановлению 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администрации Никольского 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муниципального района 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от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года    № </w:t>
      </w:r>
    </w:p>
    <w:p w:rsidR="00D322BD" w:rsidRDefault="00D322BD" w:rsidP="00D322BD">
      <w:pPr>
        <w:tabs>
          <w:tab w:val="center" w:pos="4677"/>
          <w:tab w:val="left" w:pos="698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 С П О Р 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 программы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«Реализация молодежной политики на территории 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Никольского муниципального района на 2020-2025 годы»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(далее – муниципальная программа)</w:t>
      </w:r>
    </w:p>
    <w:p w:rsidR="00D322BD" w:rsidRDefault="00D322BD" w:rsidP="00D322BD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10023" w:type="dxa"/>
        <w:tblInd w:w="-324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30"/>
      </w:tblGrid>
      <w:tr w:rsidR="00D322BD" w:rsidTr="00A34B4C">
        <w:trPr>
          <w:trHeight w:val="317"/>
        </w:trPr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Соисполнители  программы 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322BD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322BD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Цель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</w:t>
            </w:r>
          </w:p>
        </w:tc>
      </w:tr>
      <w:tr w:rsidR="00D322BD" w:rsidTr="00A34B4C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программы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и развитие условий для военно-патриотического, нравственно-патриотического и гражданско-патриотического воспитания(*5.7.4.7.);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активизация и развитие волонтерского движения на территории района;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условий для формирования и развития добровольческой деятельности, вовлечение населения в реализацию социальных проектов(*5.7.4.6.);</w:t>
            </w:r>
          </w:p>
          <w:p w:rsidR="00D322BD" w:rsidRDefault="00D322BD" w:rsidP="00A34B4C">
            <w:pPr>
              <w:keepLines/>
              <w:widowControl w:val="0"/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повышение социальной активности молодежи, направленной на достижение общественных интересов;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поддержка общественных и молодежных объединений как основ социально-экономического развития района;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(*5.7.4.11.);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молодежи(*5.7.4.9.);</w:t>
            </w:r>
          </w:p>
          <w:p w:rsidR="00D322BD" w:rsidRDefault="00D322BD" w:rsidP="00A34B4C">
            <w:pPr>
              <w:suppressAutoHyphens/>
              <w:spacing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формирование и реализация системы профилактики негативных явлений в молодежной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322BD" w:rsidTr="00A34B4C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Подпрограммы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322BD" w:rsidTr="00A34B4C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322BD" w:rsidTr="00A34B4C">
        <w:trPr>
          <w:trHeight w:val="549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этапы реализации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zh-CN"/>
              </w:rPr>
              <w:t>2020-2025 годы, реализация программы будет осуществляться без выделения этапов</w:t>
            </w:r>
          </w:p>
        </w:tc>
      </w:tr>
      <w:tr w:rsidR="00D322BD" w:rsidTr="00A34B4C">
        <w:trPr>
          <w:trHeight w:val="401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патриотическому воспитанию молодежи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активизации и развитию волонтерского 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мероприятиях, направленных на повышение социальной активности  молодежи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состоящих в общественных и молодежных объединениях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322BD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молодых людей, участвующих в мероприятиях сферы государственной молодежной политики (чел.) (*5.7.5.3)</w:t>
            </w:r>
          </w:p>
        </w:tc>
      </w:tr>
      <w:tr w:rsidR="00D322BD" w:rsidTr="00A34B4C">
        <w:trPr>
          <w:trHeight w:val="394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финансового обеспечения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бюджетных ассигнований на реализацию муниципальной  программы  – </w:t>
            </w:r>
            <w:r w:rsidR="00A34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2222,8</w:t>
            </w: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рублей, в том числе по годам: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2022 год – </w:t>
            </w:r>
            <w:r w:rsidR="00A34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441,7</w:t>
            </w: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430,0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за счет средств районного бюджета – </w:t>
            </w:r>
            <w:r w:rsidR="00A34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2222,8</w:t>
            </w: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рублей, в том числе по годам реализации: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2022 год – </w:t>
            </w:r>
            <w:r w:rsidR="00A34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441,7</w:t>
            </w: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430,0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</w:tc>
      </w:tr>
      <w:tr w:rsidR="00D322BD" w:rsidTr="00A34B4C">
        <w:trPr>
          <w:trHeight w:val="467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период с 2018 года по 2025 год планируется достижение следующих результатов: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 по патриотическому воспитанию молодежи с 47,7% в 2018 году до 51,2% в 2025 году;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      </w:r>
          </w:p>
          <w:p w:rsidR="00D322BD" w:rsidRDefault="00D322BD" w:rsidP="00A34B4C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      </w:r>
          </w:p>
          <w:p w:rsidR="00D322BD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увеличение   доли молодых граждан, состоящих в общественных и молодежных объединениях с 79,9% в 2018 году до 84,4% в 2025 году;</w:t>
            </w:r>
          </w:p>
          <w:p w:rsidR="00D322BD" w:rsidRDefault="00D322BD" w:rsidP="00A34B4C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году.</w:t>
            </w:r>
          </w:p>
        </w:tc>
      </w:tr>
    </w:tbl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*в соответствии 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Планом мероприятий по реализации Стратегии социально-экономического     развития  Никольского муниципального района Вологодской области на период до 2030 года, утвержденным постановлением администрации Никольского муниципального района от 21.03.2019г.  № 237</w:t>
      </w: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sectPr w:rsidR="00D322BD">
          <w:pgSz w:w="11906" w:h="16838"/>
          <w:pgMar w:top="426" w:right="850" w:bottom="142" w:left="1276" w:header="0" w:footer="0" w:gutter="0"/>
          <w:cols w:space="720"/>
          <w:formProt w:val="0"/>
          <w:docGrid w:linePitch="360" w:charSpace="4096"/>
        </w:sectPr>
      </w:pPr>
    </w:p>
    <w:p w:rsidR="00D322BD" w:rsidRDefault="00D322BD" w:rsidP="001921B1">
      <w:pPr>
        <w:tabs>
          <w:tab w:val="left" w:pos="851"/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  <w:sectPr w:rsidR="00D322BD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bCs/>
          <w:spacing w:val="2"/>
          <w:lang w:eastAsia="zh-CN"/>
        </w:rPr>
        <w:t xml:space="preserve"> </w:t>
      </w: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</w:t>
      </w:r>
    </w:p>
    <w:p w:rsidR="00D322BD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Никольского </w:t>
      </w:r>
    </w:p>
    <w:p w:rsidR="00D322BD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от     года   №     </w:t>
      </w:r>
    </w:p>
    <w:p w:rsidR="00D322BD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Приложение 3</w:t>
      </w:r>
    </w:p>
    <w:p w:rsidR="00D322BD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 муниципальной программе</w:t>
      </w:r>
    </w:p>
    <w:p w:rsidR="00D322BD" w:rsidRDefault="00D322BD" w:rsidP="00D322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D322BD" w:rsidRDefault="00D322BD" w:rsidP="00D3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 за счет средств районного бюджета</w:t>
      </w:r>
    </w:p>
    <w:tbl>
      <w:tblPr>
        <w:tblW w:w="15629" w:type="dxa"/>
        <w:tblInd w:w="-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29"/>
        <w:gridCol w:w="1972"/>
        <w:gridCol w:w="1845"/>
        <w:gridCol w:w="1635"/>
        <w:gridCol w:w="3880"/>
        <w:gridCol w:w="701"/>
        <w:gridCol w:w="656"/>
        <w:gridCol w:w="623"/>
        <w:gridCol w:w="659"/>
        <w:gridCol w:w="668"/>
        <w:gridCol w:w="624"/>
        <w:gridCol w:w="837"/>
      </w:tblGrid>
      <w:tr w:rsidR="00D322BD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</w:t>
            </w:r>
          </w:p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2020-2025 год</w:t>
            </w:r>
          </w:p>
        </w:tc>
      </w:tr>
      <w:tr w:rsidR="00D322BD" w:rsidTr="00A34B4C"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2222,8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A34B4C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2222,8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504,4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504,4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0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1921B1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</w:t>
            </w:r>
            <w:r w:rsid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348,2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</w:t>
            </w:r>
            <w:bookmarkStart w:id="0" w:name="_GoBack"/>
            <w:bookmarkEnd w:id="0"/>
            <w:r w:rsid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267E1F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348,2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«Создание и развитие условий для патриотического воспитания граждан»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1395,8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1395,8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4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1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12,0  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D322BD" w:rsidTr="00A34B4C">
        <w:trPr>
          <w:cantSplit/>
          <w:trHeight w:val="29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156,3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8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34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436,2</w:t>
            </w:r>
          </w:p>
        </w:tc>
      </w:tr>
      <w:tr w:rsidR="00D322BD" w:rsidTr="00A34B4C">
        <w:trPr>
          <w:cantSplit/>
          <w:trHeight w:val="2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436,2</w:t>
            </w:r>
          </w:p>
        </w:tc>
      </w:tr>
      <w:tr w:rsidR="00D322BD" w:rsidTr="00A34B4C">
        <w:trPr>
          <w:cantSplit/>
          <w:trHeight w:val="4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322BD" w:rsidTr="00A34B4C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322BD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76,7</w:t>
            </w: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76,7</w:t>
            </w:r>
          </w:p>
        </w:tc>
      </w:tr>
      <w:tr w:rsidR="00D322BD" w:rsidTr="00A34B4C">
        <w:trPr>
          <w:cantSplit/>
          <w:trHeight w:val="23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1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436,2</w:t>
            </w:r>
          </w:p>
        </w:tc>
      </w:tr>
      <w:tr w:rsidR="00D322BD" w:rsidTr="00A34B4C">
        <w:trPr>
          <w:cantSplit/>
          <w:trHeight w:val="19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436,2</w:t>
            </w:r>
          </w:p>
        </w:tc>
      </w:tr>
      <w:tr w:rsidR="00D322BD" w:rsidTr="00A34B4C">
        <w:trPr>
          <w:cantSplit/>
          <w:trHeight w:val="16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10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10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322BD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322BD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322BD" w:rsidTr="00A34B4C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322BD" w:rsidTr="00A34B4C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322BD" w:rsidTr="00A34B4C">
        <w:trPr>
          <w:cantSplit/>
          <w:trHeight w:val="2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«Активизация и 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104,5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104,5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82,9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82,9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372,3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372,3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  <w:trHeight w:val="272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155,0</w:t>
            </w:r>
          </w:p>
        </w:tc>
      </w:tr>
      <w:tr w:rsidR="00D322BD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155,0</w:t>
            </w:r>
          </w:p>
        </w:tc>
      </w:tr>
      <w:tr w:rsidR="00D322BD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4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77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44BA9" w:rsidRDefault="00744BA9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4</w:t>
            </w: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322BD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322BD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114,0</w:t>
            </w:r>
          </w:p>
        </w:tc>
      </w:tr>
      <w:tr w:rsidR="00D322BD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114,0</w:t>
            </w:r>
          </w:p>
        </w:tc>
      </w:tr>
      <w:tr w:rsidR="00D322BD" w:rsidTr="00A34B4C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1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110,5</w:t>
            </w:r>
          </w:p>
        </w:tc>
      </w:tr>
      <w:tr w:rsidR="00D322BD" w:rsidTr="00A34B4C">
        <w:trPr>
          <w:cantSplit/>
          <w:trHeight w:val="20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110,5</w:t>
            </w:r>
          </w:p>
        </w:tc>
      </w:tr>
      <w:tr w:rsidR="00D322BD" w:rsidTr="00A34B4C">
        <w:trPr>
          <w:cantSplit/>
          <w:trHeight w:val="19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15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322BD" w:rsidTr="00A34B4C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322BD" w:rsidTr="00A34B4C">
        <w:trPr>
          <w:cantSplit/>
          <w:trHeight w:val="32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8C01BE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109,3</w:t>
            </w: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109,3</w:t>
            </w: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7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 Приобретение и установка доски почёта молодёжи Никольского района 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322BD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322BD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130,9</w:t>
            </w: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322BD" w:rsidTr="00A34B4C">
        <w:trPr>
          <w:cantSplit/>
          <w:trHeight w:val="28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6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 Участие в 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322BD" w:rsidTr="00A34B4C">
        <w:trPr>
          <w:cantSplit/>
          <w:trHeight w:val="2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322BD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6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D322BD" w:rsidTr="00A34B4C">
        <w:trPr>
          <w:cantSplit/>
          <w:trHeight w:val="38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74,9</w:t>
            </w: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322BD" w:rsidTr="00A34B4C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322BD" w:rsidTr="00A34B4C">
        <w:trPr>
          <w:cantSplit/>
          <w:trHeight w:val="2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43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224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4.4. Слет детских общественных объединений «Инициатива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322BD" w:rsidTr="00A34B4C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P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2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322BD" w:rsidTr="00A34B4C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22BD" w:rsidTr="00A34B4C">
        <w:trPr>
          <w:cantSplit/>
          <w:trHeight w:val="5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22BD" w:rsidRDefault="00D322BD" w:rsidP="00A34B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22BD" w:rsidRDefault="00D322BD" w:rsidP="00D322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22BD" w:rsidRDefault="00D322BD" w:rsidP="00D322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22BD" w:rsidRDefault="00D322BD" w:rsidP="00D32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22BD" w:rsidRDefault="00D322BD" w:rsidP="00D322BD"/>
    <w:p w:rsidR="009317BE" w:rsidRDefault="009317BE"/>
    <w:sectPr w:rsidR="009317BE">
      <w:pgSz w:w="16838" w:h="11906" w:orient="landscape"/>
      <w:pgMar w:top="567" w:right="1134" w:bottom="99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9"/>
    <w:rsid w:val="000755E9"/>
    <w:rsid w:val="000D74C5"/>
    <w:rsid w:val="001921B1"/>
    <w:rsid w:val="00267E1F"/>
    <w:rsid w:val="00593051"/>
    <w:rsid w:val="00744BA9"/>
    <w:rsid w:val="008C01BE"/>
    <w:rsid w:val="009125BD"/>
    <w:rsid w:val="009317BE"/>
    <w:rsid w:val="00A34B4C"/>
    <w:rsid w:val="00D322BD"/>
    <w:rsid w:val="00E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322BD"/>
  </w:style>
  <w:style w:type="character" w:customStyle="1" w:styleId="a3">
    <w:name w:val="Основной текст Знак"/>
    <w:qFormat/>
    <w:rsid w:val="00D322B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322BD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322BD"/>
    <w:rPr>
      <w:color w:val="0000FF"/>
      <w:u w:val="single"/>
    </w:rPr>
  </w:style>
  <w:style w:type="character" w:customStyle="1" w:styleId="30">
    <w:name w:val="Знак Знак3"/>
    <w:qFormat/>
    <w:rsid w:val="00D322BD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322BD"/>
  </w:style>
  <w:style w:type="character" w:customStyle="1" w:styleId="2">
    <w:name w:val="Основной шрифт абзаца2"/>
    <w:qFormat/>
    <w:rsid w:val="00D322BD"/>
  </w:style>
  <w:style w:type="character" w:customStyle="1" w:styleId="10">
    <w:name w:val="Основной текст Знак1"/>
    <w:qFormat/>
    <w:rsid w:val="00D322BD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322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322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32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322BD"/>
    <w:rPr>
      <w:rFonts w:cs="Mangal"/>
    </w:rPr>
  </w:style>
  <w:style w:type="paragraph" w:styleId="a9">
    <w:name w:val="caption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322B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322BD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322B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322B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322B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322B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322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322BD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322BD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322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3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322BD"/>
  </w:style>
  <w:style w:type="character" w:customStyle="1" w:styleId="a3">
    <w:name w:val="Основной текст Знак"/>
    <w:qFormat/>
    <w:rsid w:val="00D322BD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322BD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322BD"/>
    <w:rPr>
      <w:color w:val="0000FF"/>
      <w:u w:val="single"/>
    </w:rPr>
  </w:style>
  <w:style w:type="character" w:customStyle="1" w:styleId="30">
    <w:name w:val="Знак Знак3"/>
    <w:qFormat/>
    <w:rsid w:val="00D322BD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322BD"/>
  </w:style>
  <w:style w:type="character" w:customStyle="1" w:styleId="2">
    <w:name w:val="Основной шрифт абзаца2"/>
    <w:qFormat/>
    <w:rsid w:val="00D322BD"/>
  </w:style>
  <w:style w:type="character" w:customStyle="1" w:styleId="10">
    <w:name w:val="Основной текст Знак1"/>
    <w:qFormat/>
    <w:rsid w:val="00D322BD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322BD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322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322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32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322BD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322BD"/>
    <w:rPr>
      <w:rFonts w:cs="Mangal"/>
    </w:rPr>
  </w:style>
  <w:style w:type="paragraph" w:styleId="a9">
    <w:name w:val="caption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322B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322BD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322B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322B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322B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322BD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322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322BD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322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322BD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322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322BD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32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322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3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МЦ Поколение</dc:creator>
  <cp:keywords/>
  <dc:description/>
  <cp:lastModifiedBy>МБУ МЦ Поколение</cp:lastModifiedBy>
  <cp:revision>6</cp:revision>
  <dcterms:created xsi:type="dcterms:W3CDTF">2022-12-15T11:21:00Z</dcterms:created>
  <dcterms:modified xsi:type="dcterms:W3CDTF">2023-01-31T08:04:00Z</dcterms:modified>
</cp:coreProperties>
</file>