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0"/>
              </w:rPr>
            </w:pPr>
            <w:bookmarkStart w:id="2" w:name="_GoBack"/>
            <w:bookmarkEnd w:id="2"/>
            <w:r>
              <w:rPr>
                <w:rFonts w:hint="default"/>
                <w:position w:val="-61"/>
                <w:sz w:val="20"/>
              </w:rPr>
              <w:pict>
                <v:shape id="_x0000_i1025" o:spt="75" type="#_x0000_t75" style="height:71.25pt;width:300pt;" filled="f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48"/>
              </w:rPr>
            </w:pPr>
            <w:r>
              <w:rPr>
                <w:rFonts w:hint="default"/>
                <w:sz w:val="48"/>
              </w:rPr>
              <w:t>Закон Вологодской области от 05.06.2013 N 3072-ОЗ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(ред. от 23.06.2017)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"О регулировании некоторых вопросов осуществления контроля за расходами лиц, замещающих муниципальные должности муниципальных образований области, а также расходами их супруг (супругов) и несовершеннолетних детей"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(принят Постановлением ЗС Вологодской области от 29.05.2013 N 356)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Документ предоставлен 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\o "Ссылка на КонсультантПлюс"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 21.11.2018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4"/>
        <w:spacing w:beforeLines="0" w:afterLines="0"/>
        <w:jc w:val="both"/>
        <w:outlineLvl w:val="0"/>
        <w:rPr>
          <w:rFonts w:hint="default"/>
          <w:sz w:val="20"/>
        </w:rPr>
      </w:pPr>
    </w:p>
    <w:tbl>
      <w:tblPr>
        <w:tblStyle w:val="3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5 июня 2013 года</w:t>
            </w:r>
          </w:p>
        </w:tc>
        <w:tc>
          <w:tcPr>
            <w:tcW w:w="5103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N 3072-ОЗ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ВОЛОГОДСКАЯ ОБЛАСТЬ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ЗАКОН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 РЕГУЛИРОВАНИИ НЕКОТОРЫХ ВОПРОСОВ ОСУЩЕСТВЛЕНИЯ КОНТРОЛЯ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ЗА РАСХОДАМИ ЛИЦ, ЗАМЕЩАЮЩИХ МУНИЦИПАЛЬНЫЕ ДОЛЖНОСТИ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МУНИЦИПАЛЬНЫХ ОБРАЗОВАНИЙ ОБЛАСТИ, А ТАКЖЕ РАСХОДАМИ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ИХ СУПРУГ (СУПРУГОВ) И НЕСОВЕРШЕННОЛЕТНИХ ДЕТЕЙ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Принят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Постановлением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Законодательного Собрания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Вологодской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от 29 мая 2013 г. N 356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(в ред. законов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от 14.12.2015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consultantplus://offline/ref=B4DBE7AB1F590D53783D3451C7108BDA7DFDA232097E3D6976ED790494C11603CDE35F3246664C5FC6C20E5619BB6367DBC0B7C5E9FC8713451A1BE8JB42G \o "Закон Вологодской области от 14.12.2015 N 3826-ОЗ \"О внесении изменений в закон области \"О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также расходами их супруг (супругов) и несовершеннолетних детей\" (принят Постановлением ЗС Вологодской области от 09.12.2015 N 852)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3826-ОЗ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, от 23.06.2017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consultantplus://offline/ref=B4DBE7AB1F590D53783D3451C7108BDA7DFDA23209783D6872EA790494C11603CDE35F3246664C5FC6C20E5214BB6367DBC0B7C5E9FC8713451A1BE8JB42G \o "Закон Вологодской области от 23.06.2017 N 4160-ОЗ \"О внесении изменений в отдельные законы области\" (принят Постановлением ЗС Вологодской области от 21.06.2017 N 273)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4160-ОЗ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>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Настоящий закон области в соответствии с Федеральным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consultantplus://offline/ref=B4DBE7AB1F590D53783D2A5CD17CD5DE7AFFF53A0C7B343D2BB97F53CB9110569FA3016B07235F5FC7DC0C5610JB48G \o "Федеральный закон от 03.12.2012 N 230-ФЗ (ред. от 03.08.2018) \"О контроле за соответствием расходов лиц, замещающих государственные должности, и иных лиц их доходам\" (с изм. и доп., вступ. в силу с 03.09.2018)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регулирует некоторые вопросы осуществления контроля за соответствием расходов лиц, замещающих муниципальные должности муниципальных образований области, расходов их супруг (супругов) и несовершеннолетних детей доходам этих лиц.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consultantplus://offline/ref=B4DBE7AB1F590D53783D3451C7108BDA7DFDA232097E3D6976ED790494C11603CDE35F3246664C5FC6C20E5711BB6367DBC0B7C5E9FC8713451A1BE8JB42G \o "Закон Вологодской области от 14.12.2015 N 3826-ОЗ \"О внесении изменений в закон области \"О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также расходами их супруг (супругов) и несовершеннолетних детей\" (принят Постановлением ЗС Вологодской области от 09.12.2015 N 852)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Вологодской области от 14.12.2015 N 3826-ОЗ)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1</w:t>
      </w: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consultantplus://offline/ref=B4DBE7AB1F590D53783D3451C7108BDA7DFDA232097E3D6976ED790494C11603CDE35F3246664C5FC6C20E5710BB6367DBC0B7C5E9FC8713451A1BE8JB42G \o "Закон Вологодской области от 14.12.2015 N 3826-ОЗ \"О внесении изменений в закон области \"О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также расходами их супруг (супругов) и несовершеннолетних детей\" (принят Постановлением ЗС Вологодской области от 09.12.2015 N 852)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Вологодской области от 14.12.2015 N 3826-ОЗ)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bookmarkStart w:id="0" w:name="Par28"/>
      <w:bookmarkEnd w:id="0"/>
      <w:r>
        <w:rPr>
          <w:rFonts w:hint="default"/>
          <w:sz w:val="20"/>
        </w:rPr>
        <w:t>1. Лицо, замещающее муниципальную должность муниципального образования области,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2. Сведения, указанные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Par28  \o "1. Лицо, замещающее муниципальную должность муниципального образования области,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организаций..."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части 1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настоящей статьи, представляются в порядке, установленном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consultantplus://offline/ref=B4DBE7AB1F590D53783D3451C7108BDA7DFDA2320979366D70EC790494C11603CDE35F3254661453C4C3105710AE35369EJ94DG \o "Закон Вологодской области от 09.07.2009 N 2054-ОЗ (ред. от 04.10.2018) \"О противодействии коррупции в Вологодской области\" (принят Постановлением ЗС Вологодской области от 01.07.2009 N 424)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области от 9 июля 2009 года N 2054-ОЗ "О противодействии коррупции в Вологодской области".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(часть 2 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consultantplus://offline/ref=B4DBE7AB1F590D53783D3451C7108BDA7DFDA23209783D6872EA790494C11603CDE35F3246664C5FC6C20E5214BB6367DBC0B7C5E9FC8713451A1BE8JB42G \o "Закон Вологодской области от 23.06.2017 N 4160-ОЗ \"О внесении изменений в отдельные законы области\" (принят Постановлением ЗС Вологодской области от 21.06.2017 N 273)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Вологодской области от 23.06.2017 N 4160-ОЗ)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2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bookmarkStart w:id="1" w:name="Par34"/>
      <w:bookmarkEnd w:id="1"/>
      <w:r>
        <w:rPr>
          <w:rFonts w:hint="default"/>
          <w:sz w:val="20"/>
        </w:rPr>
        <w:t>1. Решение об осуществлении контроля за расходами лица, замещающего муниципальную должность муниципального образования области, его супруги (супруга) и несовершеннолетних детей принимается Губернатором области либо уполномоченным им должностным лицом.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consultantplus://offline/ref=B4DBE7AB1F590D53783D3451C7108BDA7DFDA232097E3D6976ED790494C11603CDE35F3246664C5FC6C20E5714BB6367DBC0B7C5E9FC8713451A1BE8JB42G \o "Закон Вологодской области от 14.12.2015 N 3826-ОЗ \"О внесении изменений в закон области \"О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также расходами их супруг (супругов) и несовершеннолетних детей\" (принят Постановлением ЗС Вологодской области от 09.12.2015 N 852)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Вологодской области от 14.12.2015 N 3826-ОЗ)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2. Порядок принятия решения, указанного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Par34  \o "1. Решение об осуществлении контроля за расходами лица, замещающего муниципальную должность муниципального образования области, его супруги (супруга) и несовершеннолетних детей принимается Губернатором области либо уполномоченным им должностным лицом."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части 1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настоящей статьи, утверждается Губернатором области.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3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Государственный орган области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осуществляющий контроль за расходами лиц, замещающих муниципальные должности муниципальных образований области, а также за расходами их супруг (супругов) и несовершеннолетних детей, определяется постановлением Губернатора области.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consultantplus://offline/ref=B4DBE7AB1F590D53783D3451C7108BDA7DFDA232097E3D6976ED790494C11603CDE35F3246664C5FC6C20E5717BB6367DBC0B7C5E9FC8713451A1BE8JB42G \o "Закон Вологодской области от 14.12.2015 N 3826-ОЗ \"О внесении изменений в закон области \"О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также расходами их супруг (супругов) и несовершеннолетних детей\" (принят Постановлением ЗС Вологодской области от 09.12.2015 N 852)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Вологодской области от 14.12.2015 N 3826-ОЗ)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4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Настоящий закон области вступает в силу по истечении десяти дней после дня его официального опубликования.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Губернатор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О.А.КУВШИННИКОВ</w:t>
      </w:r>
    </w:p>
    <w:p>
      <w:pPr>
        <w:pStyle w:val="4"/>
        <w:spacing w:beforeLines="0" w:afterLines="0"/>
        <w:rPr>
          <w:rFonts w:hint="default"/>
          <w:sz w:val="20"/>
        </w:rPr>
      </w:pPr>
      <w:r>
        <w:rPr>
          <w:rFonts w:hint="default"/>
          <w:sz w:val="20"/>
        </w:rPr>
        <w:t>г. Вологда</w:t>
      </w:r>
    </w:p>
    <w:p>
      <w:pPr>
        <w:pStyle w:val="4"/>
        <w:spacing w:before="200" w:beforeLines="0" w:afterLines="0"/>
        <w:rPr>
          <w:rFonts w:hint="default"/>
          <w:sz w:val="20"/>
        </w:rPr>
      </w:pPr>
      <w:r>
        <w:rPr>
          <w:rFonts w:hint="default"/>
          <w:sz w:val="20"/>
        </w:rPr>
        <w:t>5 июня 2013 года</w:t>
      </w:r>
    </w:p>
    <w:p>
      <w:pPr>
        <w:pStyle w:val="4"/>
        <w:spacing w:before="200" w:beforeLines="0" w:afterLines="0"/>
        <w:rPr>
          <w:rFonts w:hint="default"/>
          <w:sz w:val="20"/>
        </w:rPr>
      </w:pPr>
      <w:r>
        <w:rPr>
          <w:rFonts w:hint="default"/>
          <w:sz w:val="20"/>
        </w:rPr>
        <w:t>N 3072-ОЗ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3" w:type="default"/>
      <w:footerReference r:id="rId4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333399"/>
              <w:sz w:val="28"/>
            </w:rPr>
          </w:pPr>
          <w:r>
            <w:rPr>
              <w:rFonts w:hint="eastAsia" w:ascii="SimSun" w:hAnsi="SimSun"/>
              <w:b/>
              <w:color w:val="333399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青觐?骂腩泐漶觐?钺豚耱?铗 05.06.2013 N 3072-吻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23.06.2017)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"?疱泱腓痤忄龛?礤觐蝾瘥?忸镳铖钼 铖簌羼蜮脲龛...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21.11.2018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54153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  <w:style w:type="paragraph" w:customStyle="1" w:styleId="5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6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0"/>
    </w:rPr>
  </w:style>
  <w:style w:type="paragraph" w:customStyle="1" w:styleId="7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9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0"/>
    </w:rPr>
  </w:style>
  <w:style w:type="paragraph" w:customStyle="1" w:styleId="10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</w:rPr>
  </w:style>
  <w:style w:type="paragraph" w:customStyle="1" w:styleId="11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2018-11-28T07:18:13Z</dcterms:created>
  <dc:creator>Specialist</dc:creator>
  <cp:lastModifiedBy>Specialist</cp:lastModifiedBy>
  <dcterms:modified xsi:type="dcterms:W3CDTF">2018-11-28T07:18:52Z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